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pacing w:val="-2"/>
          <w:sz w:val="44"/>
          <w:szCs w:val="44"/>
        </w:rPr>
      </w:pPr>
      <w:bookmarkStart w:id="0" w:name="_GoBack"/>
      <w:bookmarkEnd w:id="0"/>
      <w:r>
        <w:rPr>
          <w:rFonts w:hint="eastAsia" w:ascii="方正小标宋简体" w:hAnsi="方正小标宋简体" w:eastAsia="方正小标宋简体" w:cs="方正小标宋简体"/>
          <w:spacing w:val="-2"/>
          <w:sz w:val="44"/>
          <w:szCs w:val="44"/>
        </w:rPr>
        <w:t>中国神华能源股份有限公司</w:t>
      </w:r>
    </w:p>
    <w:p>
      <w:pPr>
        <w:spacing w:line="640" w:lineRule="exact"/>
        <w:ind w:firstLine="0" w:firstLineChars="0"/>
        <w:jc w:val="center"/>
        <w:rPr>
          <w:rFonts w:hint="eastAsia" w:ascii="方正小标宋简体" w:hAnsi="方正小标宋简体" w:eastAsia="方正小标宋简体" w:cs="方正小标宋简体"/>
          <w:spacing w:val="-2"/>
          <w:sz w:val="44"/>
          <w:szCs w:val="44"/>
        </w:rPr>
      </w:pPr>
      <w:r>
        <w:rPr>
          <w:rFonts w:hint="eastAsia" w:ascii="方正小标宋简体" w:hAnsi="方正小标宋简体" w:eastAsia="方正小标宋简体" w:cs="方正小标宋简体"/>
          <w:spacing w:val="-2"/>
          <w:sz w:val="44"/>
          <w:szCs w:val="44"/>
        </w:rPr>
        <w:t>利益相关方沟通手册</w:t>
      </w:r>
    </w:p>
    <w:p>
      <w:pPr>
        <w:spacing w:line="640" w:lineRule="exact"/>
        <w:ind w:firstLine="657" w:firstLineChars="2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 xml:space="preserve"> </w:t>
      </w:r>
    </w:p>
    <w:p>
      <w:pPr>
        <w:spacing w:line="640" w:lineRule="exact"/>
        <w:jc w:val="center"/>
        <w:rPr>
          <w:rFonts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第一章 总则</w:t>
      </w:r>
    </w:p>
    <w:p>
      <w:pPr>
        <w:numPr>
          <w:ilvl w:val="0"/>
          <w:numId w:val="1"/>
        </w:numPr>
        <w:spacing w:line="640" w:lineRule="exact"/>
        <w:ind w:firstLine="660"/>
        <w:jc w:val="both"/>
        <w:rPr>
          <w:rFonts w:ascii="黑体" w:hAnsi="黑体" w:eastAsia="黑体" w:cs="黑体"/>
          <w:spacing w:val="-2"/>
          <w:sz w:val="32"/>
          <w:szCs w:val="32"/>
        </w:rPr>
      </w:pPr>
      <w:r>
        <w:rPr>
          <w:rFonts w:hint="eastAsia" w:ascii="黑体" w:hAnsi="黑体" w:eastAsia="黑体" w:cs="黑体"/>
          <w:spacing w:val="-2"/>
          <w:sz w:val="32"/>
          <w:szCs w:val="32"/>
        </w:rPr>
        <w:t>编制目的</w:t>
      </w:r>
    </w:p>
    <w:p>
      <w:pPr>
        <w:spacing w:line="640" w:lineRule="exact"/>
        <w:ind w:firstLine="657" w:firstLineChars="2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为规范公司利益相关方沟通管理，建立科学、高效的沟通机制，明确沟通责任与流程，提升沟通效率与效果，促进公司与利益相关方的良性互动，保障公司战略目标的实现，特制定本手册。</w:t>
      </w:r>
    </w:p>
    <w:p>
      <w:pPr>
        <w:numPr>
          <w:ilvl w:val="0"/>
          <w:numId w:val="1"/>
        </w:numPr>
        <w:spacing w:line="640" w:lineRule="exact"/>
        <w:ind w:firstLine="660"/>
        <w:jc w:val="both"/>
        <w:rPr>
          <w:rFonts w:ascii="黑体" w:hAnsi="黑体" w:eastAsia="黑体" w:cs="黑体"/>
          <w:spacing w:val="-2"/>
          <w:sz w:val="32"/>
          <w:szCs w:val="32"/>
        </w:rPr>
      </w:pPr>
      <w:r>
        <w:rPr>
          <w:rFonts w:hint="eastAsia" w:ascii="黑体" w:hAnsi="黑体" w:eastAsia="黑体" w:cs="黑体"/>
          <w:spacing w:val="-2"/>
          <w:sz w:val="32"/>
          <w:szCs w:val="32"/>
        </w:rPr>
        <w:t>适用范围</w:t>
      </w:r>
    </w:p>
    <w:p>
      <w:pPr>
        <w:spacing w:line="640" w:lineRule="exact"/>
        <w:ind w:firstLine="657" w:firstLineChars="2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本手册适用于公司本部与所有内部及外部利益相关方的沟通管理工作，包括但不限于董事及高管、员工、政府与监管机构、股东与投资者、客户、社区（运营当地居民）、行业与伙伴等利益相关方群体。</w:t>
      </w:r>
    </w:p>
    <w:p>
      <w:pPr>
        <w:numPr>
          <w:ilvl w:val="0"/>
          <w:numId w:val="1"/>
        </w:numPr>
        <w:spacing w:line="640" w:lineRule="exact"/>
        <w:ind w:firstLine="660"/>
        <w:jc w:val="both"/>
        <w:rPr>
          <w:rFonts w:ascii="黑体" w:hAnsi="黑体" w:eastAsia="黑体" w:cs="黑体"/>
          <w:spacing w:val="-2"/>
          <w:sz w:val="32"/>
          <w:szCs w:val="32"/>
        </w:rPr>
      </w:pPr>
      <w:r>
        <w:rPr>
          <w:rFonts w:hint="eastAsia" w:ascii="黑体" w:hAnsi="黑体" w:eastAsia="黑体" w:cs="黑体"/>
          <w:spacing w:val="-2"/>
          <w:sz w:val="32"/>
          <w:szCs w:val="32"/>
        </w:rPr>
        <w:t>基本原则</w:t>
      </w:r>
    </w:p>
    <w:p>
      <w:pPr>
        <w:numPr>
          <w:ilvl w:val="255"/>
          <w:numId w:val="0"/>
        </w:numPr>
        <w:spacing w:line="64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沟通工作服务于公司经营目标与社会责任履行，根据利益相关方的类别与需求，实行差异化沟通策略。沟通工作应严格遵守国家法律法规、监管要求及公司内部制度，同时强化沟通风险评估与管控，防范合规、舆情及廉政风险。</w:t>
      </w:r>
    </w:p>
    <w:p>
      <w:pPr>
        <w:spacing w:line="640" w:lineRule="exact"/>
        <w:jc w:val="both"/>
        <w:rPr>
          <w:rFonts w:ascii="仿宋_GB2312" w:hAnsi="仿宋_GB2312" w:eastAsia="仿宋_GB2312" w:cs="仿宋_GB2312"/>
          <w:spacing w:val="-2"/>
          <w:sz w:val="32"/>
          <w:szCs w:val="32"/>
        </w:rPr>
      </w:pPr>
    </w:p>
    <w:p>
      <w:pPr>
        <w:spacing w:line="640" w:lineRule="exact"/>
        <w:jc w:val="center"/>
        <w:rPr>
          <w:rFonts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第二章 利益相关方沟通程序</w:t>
      </w:r>
    </w:p>
    <w:p>
      <w:pPr>
        <w:numPr>
          <w:ilvl w:val="0"/>
          <w:numId w:val="2"/>
        </w:numPr>
        <w:spacing w:line="640" w:lineRule="exact"/>
        <w:ind w:firstLine="660"/>
        <w:jc w:val="both"/>
        <w:rPr>
          <w:rFonts w:ascii="黑体" w:hAnsi="黑体" w:eastAsia="黑体" w:cs="黑体"/>
          <w:spacing w:val="-2"/>
          <w:sz w:val="32"/>
          <w:szCs w:val="32"/>
        </w:rPr>
      </w:pPr>
      <w:r>
        <w:rPr>
          <w:rFonts w:hint="eastAsia" w:ascii="黑体" w:hAnsi="黑体" w:eastAsia="黑体" w:cs="黑体"/>
          <w:spacing w:val="-2"/>
          <w:sz w:val="32"/>
          <w:szCs w:val="32"/>
        </w:rPr>
        <w:t>沟通程序框架</w:t>
      </w:r>
    </w:p>
    <w:p>
      <w:pPr>
        <w:numPr>
          <w:ilvl w:val="0"/>
          <w:numId w:val="3"/>
        </w:numPr>
        <w:spacing w:line="64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各利益相关方对接部门通过调研、数据分析、日常反馈等渠道，识别利益相关方的核心诉求、关注点及潜在风险。</w:t>
      </w:r>
    </w:p>
    <w:p>
      <w:pPr>
        <w:numPr>
          <w:ilvl w:val="0"/>
          <w:numId w:val="3"/>
        </w:numPr>
        <w:spacing w:line="64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各利益相关方对接部门根据利益相关方需求制定针对性的利益相关方沟通执行方案，包括沟通目标、沟通策略、沟通方式（会议、调研、公告等）、时间节点及责任分工等内容。</w:t>
      </w:r>
    </w:p>
    <w:p>
      <w:pPr>
        <w:numPr>
          <w:ilvl w:val="0"/>
          <w:numId w:val="3"/>
        </w:numPr>
        <w:spacing w:line="64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各利益相关方对接部门按照沟通执行方案组织实施沟通活动，确保沟通内容符合公司口径，并做好过程记录。</w:t>
      </w:r>
    </w:p>
    <w:p>
      <w:pPr>
        <w:numPr>
          <w:ilvl w:val="0"/>
          <w:numId w:val="3"/>
        </w:numPr>
        <w:spacing w:line="64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通过满意度调查、数据统计等方式评估沟通效果。</w:t>
      </w:r>
    </w:p>
    <w:p>
      <w:pPr>
        <w:numPr>
          <w:ilvl w:val="0"/>
          <w:numId w:val="2"/>
        </w:numPr>
        <w:spacing w:line="640" w:lineRule="exact"/>
        <w:ind w:firstLine="660"/>
        <w:jc w:val="both"/>
        <w:rPr>
          <w:rFonts w:ascii="黑体" w:hAnsi="黑体" w:eastAsia="黑体" w:cs="黑体"/>
          <w:spacing w:val="-2"/>
          <w:sz w:val="32"/>
          <w:szCs w:val="32"/>
        </w:rPr>
      </w:pPr>
      <w:r>
        <w:rPr>
          <w:rFonts w:hint="eastAsia" w:ascii="黑体" w:hAnsi="黑体" w:eastAsia="黑体" w:cs="黑体"/>
          <w:spacing w:val="-2"/>
          <w:sz w:val="32"/>
          <w:szCs w:val="32"/>
        </w:rPr>
        <w:t>沟通程序管控要点</w:t>
      </w:r>
    </w:p>
    <w:p>
      <w:pPr>
        <w:numPr>
          <w:ilvl w:val="0"/>
          <w:numId w:val="4"/>
        </w:numPr>
        <w:spacing w:line="64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沟通方案及内容应通过合规性审核，确保符合法律法规及公司制度。</w:t>
      </w:r>
    </w:p>
    <w:p>
      <w:pPr>
        <w:numPr>
          <w:ilvl w:val="0"/>
          <w:numId w:val="4"/>
        </w:numPr>
        <w:spacing w:line="64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重大沟通事项的廉政风险点应进行风险备案，并接受纪检监督。</w:t>
      </w:r>
    </w:p>
    <w:p>
      <w:pPr>
        <w:numPr>
          <w:ilvl w:val="0"/>
          <w:numId w:val="4"/>
        </w:numPr>
        <w:spacing w:line="64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各部门依据职责分工，对照利益相关方沟通管理策略表，分别建立工作台账，并按年度定期报送办公室统一汇总归档。</w:t>
      </w:r>
    </w:p>
    <w:p>
      <w:pPr>
        <w:spacing w:line="640" w:lineRule="exact"/>
        <w:jc w:val="both"/>
        <w:rPr>
          <w:rFonts w:ascii="仿宋_GB2312" w:hAnsi="仿宋_GB2312" w:eastAsia="仿宋_GB2312" w:cs="仿宋_GB2312"/>
          <w:b/>
          <w:bCs/>
          <w:spacing w:val="-2"/>
          <w:sz w:val="32"/>
          <w:szCs w:val="32"/>
        </w:rPr>
      </w:pPr>
    </w:p>
    <w:p>
      <w:pPr>
        <w:spacing w:line="640" w:lineRule="exact"/>
        <w:jc w:val="center"/>
        <w:rPr>
          <w:rFonts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第三章 利益相关方识别</w:t>
      </w:r>
    </w:p>
    <w:p>
      <w:pPr>
        <w:numPr>
          <w:ilvl w:val="0"/>
          <w:numId w:val="5"/>
        </w:numPr>
        <w:spacing w:line="640" w:lineRule="exact"/>
        <w:ind w:firstLine="660"/>
        <w:jc w:val="both"/>
        <w:rPr>
          <w:rFonts w:ascii="黑体" w:hAnsi="黑体" w:eastAsia="黑体" w:cs="黑体"/>
          <w:spacing w:val="-2"/>
          <w:sz w:val="32"/>
          <w:szCs w:val="32"/>
        </w:rPr>
      </w:pPr>
      <w:r>
        <w:rPr>
          <w:rFonts w:hint="eastAsia" w:ascii="黑体" w:hAnsi="黑体" w:eastAsia="黑体" w:cs="黑体"/>
          <w:spacing w:val="-2"/>
          <w:sz w:val="32"/>
          <w:szCs w:val="32"/>
        </w:rPr>
        <w:t>利益相关方定义</w:t>
      </w:r>
    </w:p>
    <w:p>
      <w:pPr>
        <w:spacing w:line="640" w:lineRule="exact"/>
        <w:ind w:firstLine="657" w:firstLineChars="2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本手册所指利益相关方为任何受公司经营活动直接或间接影响的个人或组织，以及能够对公司可持续发展产生影响的实体。公司结合根据行业动态以及公司的特性、发展情况识别各利益相关方。包括但不限于董事及高管、员工、政府与监管机构、股东与投资者、客户、社区、行业协会与合作伙伴等群体。</w:t>
      </w:r>
    </w:p>
    <w:p>
      <w:pPr>
        <w:numPr>
          <w:ilvl w:val="0"/>
          <w:numId w:val="5"/>
        </w:numPr>
        <w:spacing w:line="640" w:lineRule="exact"/>
        <w:ind w:firstLine="660"/>
        <w:jc w:val="both"/>
        <w:rPr>
          <w:rFonts w:ascii="黑体" w:hAnsi="黑体" w:eastAsia="黑体" w:cs="黑体"/>
          <w:spacing w:val="-2"/>
          <w:sz w:val="32"/>
          <w:szCs w:val="32"/>
        </w:rPr>
      </w:pPr>
      <w:r>
        <w:rPr>
          <w:rFonts w:hint="eastAsia" w:ascii="黑体" w:hAnsi="黑体" w:eastAsia="黑体" w:cs="黑体"/>
          <w:spacing w:val="-2"/>
          <w:sz w:val="32"/>
          <w:szCs w:val="32"/>
        </w:rPr>
        <w:t>利益相关方分类</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3447"/>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440" w:lineRule="exact"/>
              <w:jc w:val="center"/>
              <w:rPr>
                <w:rFonts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利益相关方类型</w:t>
            </w:r>
          </w:p>
        </w:tc>
        <w:tc>
          <w:tcPr>
            <w:tcW w:w="3447" w:type="dxa"/>
          </w:tcPr>
          <w:p>
            <w:pPr>
              <w:spacing w:line="440" w:lineRule="exact"/>
              <w:jc w:val="center"/>
              <w:rPr>
                <w:rFonts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利益相关方类别</w:t>
            </w:r>
          </w:p>
        </w:tc>
        <w:tc>
          <w:tcPr>
            <w:tcW w:w="2983" w:type="dxa"/>
          </w:tcPr>
          <w:p>
            <w:pPr>
              <w:spacing w:line="440" w:lineRule="exact"/>
              <w:jc w:val="center"/>
              <w:rPr>
                <w:rFonts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内部利益相关方</w:t>
            </w:r>
          </w:p>
        </w:tc>
        <w:tc>
          <w:tcPr>
            <w:tcW w:w="3447" w:type="dxa"/>
          </w:tcPr>
          <w:p>
            <w:pPr>
              <w:spacing w:line="440" w:lineRule="exact"/>
              <w:jc w:val="both"/>
              <w:rPr>
                <w:rFonts w:ascii="仿宋_GB2312" w:hAnsi="仿宋_GB2312" w:eastAsia="仿宋_GB2312" w:cs="仿宋_GB2312"/>
                <w:spacing w:val="-2"/>
                <w:sz w:val="24"/>
                <w:szCs w:val="24"/>
              </w:rPr>
            </w:pPr>
            <w:r>
              <w:rPr>
                <w:rFonts w:hint="eastAsia" w:ascii="Times New Roman" w:hAnsi="Times New Roman" w:eastAsia="仿宋_GB2312"/>
                <w:sz w:val="24"/>
                <w:szCs w:val="24"/>
              </w:rPr>
              <w:t>董事及高管</w:t>
            </w:r>
          </w:p>
        </w:tc>
        <w:tc>
          <w:tcPr>
            <w:tcW w:w="2983"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董事会办公室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Pr>
          <w:p>
            <w:pPr>
              <w:spacing w:line="440" w:lineRule="exact"/>
              <w:jc w:val="both"/>
              <w:rPr>
                <w:rFonts w:ascii="仿宋_GB2312" w:hAnsi="仿宋_GB2312" w:eastAsia="仿宋_GB2312" w:cs="仿宋_GB2312"/>
                <w:spacing w:val="-2"/>
                <w:sz w:val="24"/>
                <w:szCs w:val="24"/>
              </w:rPr>
            </w:pPr>
          </w:p>
        </w:tc>
        <w:tc>
          <w:tcPr>
            <w:tcW w:w="3447"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员工</w:t>
            </w:r>
          </w:p>
        </w:tc>
        <w:tc>
          <w:tcPr>
            <w:tcW w:w="2983"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组织人事部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工会工作部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外部利益相关方</w:t>
            </w:r>
          </w:p>
        </w:tc>
        <w:tc>
          <w:tcPr>
            <w:tcW w:w="3447"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政府与监管机构</w:t>
            </w:r>
          </w:p>
        </w:tc>
        <w:tc>
          <w:tcPr>
            <w:tcW w:w="2983"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董事会办公室</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企业管理与法律事务部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煤炭运输部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纪委办公室</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审计部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计划发展部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科技信息部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Pr>
          <w:p>
            <w:pPr>
              <w:spacing w:line="440" w:lineRule="exact"/>
              <w:jc w:val="both"/>
              <w:rPr>
                <w:rFonts w:ascii="仿宋_GB2312" w:hAnsi="仿宋_GB2312" w:eastAsia="仿宋_GB2312" w:cs="仿宋_GB2312"/>
                <w:spacing w:val="-2"/>
                <w:sz w:val="24"/>
                <w:szCs w:val="24"/>
              </w:rPr>
            </w:pPr>
          </w:p>
        </w:tc>
        <w:tc>
          <w:tcPr>
            <w:tcW w:w="3447"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股东与投资者</w:t>
            </w:r>
          </w:p>
        </w:tc>
        <w:tc>
          <w:tcPr>
            <w:tcW w:w="2983"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董事会办公室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Pr>
          <w:p>
            <w:pPr>
              <w:spacing w:line="440" w:lineRule="exact"/>
              <w:jc w:val="both"/>
              <w:rPr>
                <w:rFonts w:ascii="仿宋_GB2312" w:hAnsi="仿宋_GB2312" w:eastAsia="仿宋_GB2312" w:cs="仿宋_GB2312"/>
                <w:spacing w:val="-2"/>
                <w:sz w:val="24"/>
                <w:szCs w:val="24"/>
              </w:rPr>
            </w:pPr>
          </w:p>
        </w:tc>
        <w:tc>
          <w:tcPr>
            <w:tcW w:w="3447"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客户</w:t>
            </w:r>
          </w:p>
        </w:tc>
        <w:tc>
          <w:tcPr>
            <w:tcW w:w="2983"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煤炭运输部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计划发展部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Pr>
          <w:p>
            <w:pPr>
              <w:spacing w:line="440" w:lineRule="exact"/>
              <w:jc w:val="both"/>
              <w:rPr>
                <w:rFonts w:ascii="仿宋_GB2312" w:hAnsi="仿宋_GB2312" w:eastAsia="仿宋_GB2312" w:cs="仿宋_GB2312"/>
                <w:spacing w:val="-2"/>
                <w:sz w:val="24"/>
                <w:szCs w:val="24"/>
              </w:rPr>
            </w:pPr>
          </w:p>
        </w:tc>
        <w:tc>
          <w:tcPr>
            <w:tcW w:w="3447"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社区</w:t>
            </w:r>
            <w:r>
              <w:rPr>
                <w:rFonts w:hint="eastAsia" w:ascii="Times New Roman" w:hAnsi="Times New Roman" w:eastAsia="仿宋_GB2312"/>
                <w:kern w:val="2"/>
                <w:sz w:val="24"/>
                <w:szCs w:val="24"/>
              </w:rPr>
              <w:t>（运营当地的居民）</w:t>
            </w:r>
          </w:p>
        </w:tc>
        <w:tc>
          <w:tcPr>
            <w:tcW w:w="2983"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办公室</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党建工作部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计划发展部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国际业务部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Pr>
          <w:p>
            <w:pPr>
              <w:spacing w:line="440" w:lineRule="exact"/>
              <w:jc w:val="both"/>
              <w:rPr>
                <w:rFonts w:ascii="仿宋_GB2312" w:hAnsi="仿宋_GB2312" w:eastAsia="仿宋_GB2312" w:cs="仿宋_GB2312"/>
                <w:spacing w:val="-2"/>
                <w:sz w:val="24"/>
                <w:szCs w:val="24"/>
              </w:rPr>
            </w:pPr>
          </w:p>
        </w:tc>
        <w:tc>
          <w:tcPr>
            <w:tcW w:w="3447"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行业协会与合作伙伴</w:t>
            </w:r>
          </w:p>
        </w:tc>
        <w:tc>
          <w:tcPr>
            <w:tcW w:w="2983"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企业管理与法律事务部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煤炭运输部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董事会办公室</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科技信息部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Pr>
          <w:p>
            <w:pPr>
              <w:spacing w:line="440" w:lineRule="exact"/>
              <w:jc w:val="both"/>
              <w:rPr>
                <w:rFonts w:ascii="仿宋_GB2312" w:hAnsi="仿宋_GB2312" w:eastAsia="仿宋_GB2312" w:cs="仿宋_GB2312"/>
                <w:spacing w:val="-2"/>
                <w:sz w:val="24"/>
                <w:szCs w:val="24"/>
              </w:rPr>
            </w:pPr>
          </w:p>
        </w:tc>
        <w:tc>
          <w:tcPr>
            <w:tcW w:w="3447" w:type="dxa"/>
          </w:tcPr>
          <w:p>
            <w:pPr>
              <w:spacing w:line="440" w:lineRule="exact"/>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媒体与分析师</w:t>
            </w:r>
          </w:p>
        </w:tc>
        <w:tc>
          <w:tcPr>
            <w:tcW w:w="2983"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党建工作部</w:t>
            </w:r>
          </w:p>
          <w:p>
            <w:pPr>
              <w:spacing w:line="440" w:lineRule="exact"/>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董事会办公室</w:t>
            </w:r>
          </w:p>
        </w:tc>
      </w:tr>
    </w:tbl>
    <w:p>
      <w:pPr>
        <w:spacing w:line="640" w:lineRule="exact"/>
        <w:jc w:val="center"/>
        <w:rPr>
          <w:rFonts w:ascii="仿宋_GB2312" w:hAnsi="仿宋_GB2312" w:eastAsia="仿宋_GB2312" w:cs="仿宋_GB2312"/>
          <w:spacing w:val="-2"/>
          <w:sz w:val="32"/>
          <w:szCs w:val="32"/>
        </w:rPr>
      </w:pPr>
    </w:p>
    <w:p>
      <w:pPr>
        <w:spacing w:line="640" w:lineRule="exact"/>
        <w:jc w:val="center"/>
        <w:rPr>
          <w:rFonts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第四章 利益相关方沟通目标与策略</w:t>
      </w:r>
    </w:p>
    <w:p>
      <w:pPr>
        <w:numPr>
          <w:ilvl w:val="0"/>
          <w:numId w:val="6"/>
        </w:numPr>
        <w:spacing w:line="640" w:lineRule="exact"/>
        <w:ind w:firstLine="660"/>
        <w:jc w:val="both"/>
        <w:rPr>
          <w:rFonts w:ascii="黑体" w:hAnsi="黑体" w:eastAsia="黑体" w:cs="黑体"/>
          <w:spacing w:val="-2"/>
          <w:sz w:val="32"/>
          <w:szCs w:val="32"/>
        </w:rPr>
      </w:pPr>
      <w:r>
        <w:rPr>
          <w:rFonts w:hint="eastAsia" w:ascii="黑体" w:hAnsi="黑体" w:eastAsia="黑体" w:cs="黑体"/>
          <w:spacing w:val="-2"/>
          <w:sz w:val="32"/>
          <w:szCs w:val="32"/>
        </w:rPr>
        <w:t>沟通目标</w:t>
      </w:r>
    </w:p>
    <w:p>
      <w:pPr>
        <w:numPr>
          <w:ilvl w:val="0"/>
          <w:numId w:val="7"/>
        </w:numPr>
        <w:spacing w:line="640" w:lineRule="exact"/>
        <w:ind w:firstLine="66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政府与监管机构沟通：通过加强与地方政府、监管机构的沟通，赢得地方政府对企业发展的了解、理解、认同、信任、支持与合作，加强合规性保障与风险规避、公共事务协同与形象塑造，为企业可持续发展提供良好的外部环境，保证公司发展运营顺利推进。</w:t>
      </w:r>
    </w:p>
    <w:p>
      <w:pPr>
        <w:numPr>
          <w:ilvl w:val="0"/>
          <w:numId w:val="7"/>
        </w:numPr>
        <w:spacing w:line="640" w:lineRule="exact"/>
        <w:ind w:firstLine="66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股东与投资者沟通：通过加强与股东及投资者的沟通，减少信息不对称，强化治理合规性，降低投资者因信息盲区产生的疑虑，充分展示公司的可持续发展能力，增强长期投资者信心。通过加强预期引导，稳定股价与市值管理。吸引长期战略投资者（如主权基金、养老金），优化资本结构，降低融资成本。</w:t>
      </w:r>
    </w:p>
    <w:p>
      <w:pPr>
        <w:numPr>
          <w:ilvl w:val="0"/>
          <w:numId w:val="7"/>
        </w:numPr>
        <w:spacing w:line="640" w:lineRule="exact"/>
        <w:ind w:firstLine="66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客户沟通：通过加强与客户的沟通，精准捕捉市场需求，更好地为客户提供服务，提升客户价值创造水平和客户满意度，最大限度地赢得客户的理解、信任、支持与合作，促进销售转化与复购，增强客户黏性与品牌忠诚度，推动企业与客户共同成长。</w:t>
      </w:r>
    </w:p>
    <w:p>
      <w:pPr>
        <w:numPr>
          <w:ilvl w:val="0"/>
          <w:numId w:val="7"/>
        </w:numPr>
        <w:spacing w:line="640" w:lineRule="exact"/>
        <w:ind w:firstLine="66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社区沟通：通过加强与社区的沟通，增进联系和互动，促进社区对企业发展的了解和理解，获取在地化运营支持，预防和化解社会冲突，建立形成和谐的社企关系，塑造负责任的企业形象，为企业的发展营造良好的社区环境。</w:t>
      </w:r>
    </w:p>
    <w:p>
      <w:pPr>
        <w:numPr>
          <w:ilvl w:val="0"/>
          <w:numId w:val="7"/>
        </w:numPr>
        <w:spacing w:line="640" w:lineRule="exact"/>
        <w:ind w:firstLine="66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行业协会与合作伙伴沟通：通过加强与行业协会（自律组织）、合作伙伴的沟通增进了解，在推动资源整合、协同创新、构建产业生态、提升产业链韧性及舆论环境等方面提升合作水平，拓展合作领域，实现双赢多赢共赢，促进共同进步和共同发展。</w:t>
      </w:r>
    </w:p>
    <w:p>
      <w:pPr>
        <w:numPr>
          <w:ilvl w:val="0"/>
          <w:numId w:val="7"/>
        </w:numPr>
        <w:spacing w:line="640" w:lineRule="exact"/>
        <w:ind w:firstLine="66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董事与高管沟通：通过加强与董事及高管的沟通，优化公司治理，畅通独立董事与公司高管、部门主任及员工的沟通渠道，减少信息不对称，强化战略协同和风险管控，提升决策质量与效率。</w:t>
      </w:r>
    </w:p>
    <w:p>
      <w:pPr>
        <w:numPr>
          <w:ilvl w:val="0"/>
          <w:numId w:val="7"/>
        </w:numPr>
        <w:spacing w:line="640" w:lineRule="exact"/>
        <w:ind w:firstLine="66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员工沟通：通过加强与员工的沟通，提升战略目标的穿透性，加强企业文化与价值观落地，及时纠正执行偏差；建立互动关系，激发创新活力，优化管理层级流程，降低管理成本，加强风险应对，提升组织效能；保障双向信息畅通，提升员工归属感，凝聚发展合力。</w:t>
      </w:r>
    </w:p>
    <w:p>
      <w:pPr>
        <w:numPr>
          <w:ilvl w:val="0"/>
          <w:numId w:val="7"/>
        </w:numPr>
        <w:spacing w:line="640" w:lineRule="exact"/>
        <w:ind w:firstLine="66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媒体及分析师沟通：通过加强与媒体及分析师的沟通，建立与媒体及分析师的良好关系，增进媒体及分析师对企业综合价值创造战略、行动和绩效的了解和传播，准确传递企业价值，防止媒体出现不当宣传，分析师做出不准确的分析预测，提升公司品牌、市值和形象，为企业的发展营造良好的舆论环境。</w:t>
      </w:r>
    </w:p>
    <w:p>
      <w:pPr>
        <w:numPr>
          <w:ilvl w:val="0"/>
          <w:numId w:val="6"/>
        </w:numPr>
        <w:spacing w:line="640" w:lineRule="exact"/>
        <w:ind w:firstLine="660"/>
        <w:jc w:val="both"/>
        <w:rPr>
          <w:rFonts w:ascii="黑体" w:hAnsi="黑体" w:eastAsia="黑体" w:cs="黑体"/>
          <w:spacing w:val="-2"/>
          <w:sz w:val="32"/>
          <w:szCs w:val="32"/>
        </w:rPr>
      </w:pPr>
      <w:r>
        <w:rPr>
          <w:rFonts w:hint="eastAsia" w:ascii="黑体" w:hAnsi="黑体" w:eastAsia="黑体" w:cs="黑体"/>
          <w:spacing w:val="-2"/>
          <w:sz w:val="32"/>
          <w:szCs w:val="32"/>
        </w:rPr>
        <w:t>沟通策略</w:t>
      </w:r>
    </w:p>
    <w:p>
      <w:pPr>
        <w:spacing w:line="640" w:lineRule="exact"/>
        <w:ind w:firstLine="657" w:firstLineChars="2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强化沟通重大落实，按照全业务、全流程、全岗位覆盖的要求，结合社会责任理念，从利益相关方管理和沟通视角审视各项工作，确定实现经济、社会和环境综合价值最大化的行动路径，使理念和管理融入各岗位实践之中。制订《利益相关方沟通管理策略表》，明确利益相关方沟通主体、沟通方式、沟通内容等，推动沟通工作更好地进行。</w:t>
      </w:r>
    </w:p>
    <w:p>
      <w:pPr>
        <w:spacing w:line="640" w:lineRule="exact"/>
        <w:jc w:val="center"/>
        <w:rPr>
          <w:rFonts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各利益相关方沟通管理策略表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1839"/>
        <w:gridCol w:w="1762"/>
        <w:gridCol w:w="1762"/>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pPr>
              <w:spacing w:line="440" w:lineRule="exact"/>
              <w:jc w:val="center"/>
              <w:rPr>
                <w:rFonts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利益相关方</w:t>
            </w:r>
          </w:p>
        </w:tc>
        <w:tc>
          <w:tcPr>
            <w:tcW w:w="1839" w:type="dxa"/>
          </w:tcPr>
          <w:p>
            <w:pPr>
              <w:spacing w:line="440" w:lineRule="exact"/>
              <w:jc w:val="center"/>
              <w:rPr>
                <w:rFonts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沟通目标</w:t>
            </w:r>
          </w:p>
        </w:tc>
        <w:tc>
          <w:tcPr>
            <w:tcW w:w="1762" w:type="dxa"/>
          </w:tcPr>
          <w:p>
            <w:pPr>
              <w:spacing w:line="440" w:lineRule="exact"/>
              <w:jc w:val="center"/>
              <w:rPr>
                <w:rFonts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沟通方式</w:t>
            </w:r>
          </w:p>
        </w:tc>
        <w:tc>
          <w:tcPr>
            <w:tcW w:w="1762" w:type="dxa"/>
          </w:tcPr>
          <w:p>
            <w:pPr>
              <w:spacing w:line="440" w:lineRule="exact"/>
              <w:jc w:val="center"/>
              <w:rPr>
                <w:rFonts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沟通内容</w:t>
            </w:r>
          </w:p>
        </w:tc>
        <w:tc>
          <w:tcPr>
            <w:tcW w:w="1874" w:type="dxa"/>
          </w:tcPr>
          <w:p>
            <w:pPr>
              <w:spacing w:line="440" w:lineRule="exact"/>
              <w:jc w:val="center"/>
              <w:rPr>
                <w:rFonts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167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董事及高管</w:t>
            </w:r>
          </w:p>
        </w:tc>
        <w:tc>
          <w:tcPr>
            <w:tcW w:w="1839"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优化公司治理；</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确保信息对称；</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强化战略协同；加强风险管控；提升决策质量与效率；</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推动创新与变革</w:t>
            </w: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制度化沟通机制，如董事会议、</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“一对一”沟通渠道；</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数据平台、专项报告；公文沟通等</w:t>
            </w: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重大事项、重大风险、发展战略、合规运营、</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收益回报等</w:t>
            </w:r>
          </w:p>
        </w:tc>
        <w:tc>
          <w:tcPr>
            <w:tcW w:w="1874"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组织人事部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董事会办公室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7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员工</w:t>
            </w:r>
          </w:p>
        </w:tc>
        <w:tc>
          <w:tcPr>
            <w:tcW w:w="1839"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战略目标穿透与执行保障；优化流程，降低管理成本，提升组织效能；加强企业文化与价值观落地；加强风险应对；激发创新活力</w:t>
            </w: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定期培训</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建言献策</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职工代表大会</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文化活动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董事长信箱</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举报平台</w:t>
            </w: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公司发展</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管理优化</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薪酬福利</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职业发展</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健康与安全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员工权益保障</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人文关爱</w:t>
            </w:r>
          </w:p>
        </w:tc>
        <w:tc>
          <w:tcPr>
            <w:tcW w:w="1874"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组织人事部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党建工作部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企业管理与法律事务部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工会工作部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政府与监管机构</w:t>
            </w:r>
          </w:p>
        </w:tc>
        <w:tc>
          <w:tcPr>
            <w:tcW w:w="1839"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加强合规性保障与风险规避；提升政策解读能力；获取政府支持；提升企业形象</w:t>
            </w: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检查与监管</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审批和审计</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沟通和汇报</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调研和座谈</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智库合作</w:t>
            </w:r>
          </w:p>
          <w:p>
            <w:pPr>
              <w:spacing w:line="440" w:lineRule="exact"/>
              <w:jc w:val="both"/>
              <w:rPr>
                <w:rFonts w:ascii="仿宋_GB2312" w:hAnsi="仿宋_GB2312" w:eastAsia="仿宋_GB2312" w:cs="仿宋_GB2312"/>
                <w:spacing w:val="-2"/>
                <w:sz w:val="24"/>
                <w:szCs w:val="24"/>
              </w:rPr>
            </w:pP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遵纪守法</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合规经营</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能源安全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可持续发展</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依法纳税</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社会责任</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带动地方经济</w:t>
            </w:r>
          </w:p>
        </w:tc>
        <w:tc>
          <w:tcPr>
            <w:tcW w:w="1874"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董事会办公室</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企业管理与法律事务部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煤炭运输部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纪委办公室</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审计部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计划发展部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科技信息部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股东与投资者</w:t>
            </w:r>
          </w:p>
        </w:tc>
        <w:tc>
          <w:tcPr>
            <w:tcW w:w="1839"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提升市场信任度；</w:t>
            </w:r>
            <w:r>
              <w:rPr>
                <w:rFonts w:ascii="仿宋_GB2312" w:hAnsi="仿宋_GB2312" w:eastAsia="仿宋_GB2312" w:cs="仿宋_GB2312"/>
                <w:spacing w:val="-2"/>
                <w:sz w:val="24"/>
                <w:szCs w:val="24"/>
              </w:rPr>
              <w:t>稳定股价与市值管理</w:t>
            </w:r>
            <w:r>
              <w:rPr>
                <w:rFonts w:hint="eastAsia" w:ascii="仿宋_GB2312" w:hAnsi="仿宋_GB2312" w:eastAsia="仿宋_GB2312" w:cs="仿宋_GB2312"/>
                <w:spacing w:val="-2"/>
                <w:sz w:val="24"/>
                <w:szCs w:val="24"/>
              </w:rPr>
              <w:t>；优化资本机构；强化治理合规性</w:t>
            </w:r>
          </w:p>
          <w:p>
            <w:pPr>
              <w:spacing w:line="440" w:lineRule="exact"/>
              <w:jc w:val="both"/>
              <w:rPr>
                <w:rFonts w:ascii="仿宋_GB2312" w:hAnsi="仿宋_GB2312" w:eastAsia="仿宋_GB2312" w:cs="仿宋_GB2312"/>
                <w:spacing w:val="-2"/>
                <w:sz w:val="24"/>
                <w:szCs w:val="24"/>
              </w:rPr>
            </w:pP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信息披露</w:t>
            </w:r>
          </w:p>
          <w:p>
            <w:r>
              <w:rPr>
                <w:rFonts w:hint="eastAsia" w:ascii="仿宋_GB2312" w:hAnsi="仿宋_GB2312" w:eastAsia="仿宋_GB2312" w:cs="仿宋_GB2312"/>
                <w:spacing w:val="-2"/>
                <w:sz w:val="24"/>
                <w:szCs w:val="24"/>
              </w:rPr>
              <w:t>公司外网</w:t>
            </w:r>
          </w:p>
          <w:p>
            <w:pPr>
              <w:spacing w:line="440" w:lineRule="exact"/>
              <w:jc w:val="both"/>
              <w:rPr>
                <w:rFonts w:ascii="仿宋_GB2312" w:hAnsi="仿宋_GB2312" w:eastAsia="仿宋_GB2312" w:cs="仿宋_GB2312"/>
                <w:spacing w:val="-2"/>
                <w:sz w:val="24"/>
                <w:szCs w:val="24"/>
              </w:rPr>
            </w:pP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股东大会</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业绩说明会</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路演和交流</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现金分红</w:t>
            </w:r>
          </w:p>
        </w:tc>
        <w:tc>
          <w:tcPr>
            <w:tcW w:w="1762" w:type="dxa"/>
          </w:tcPr>
          <w:p>
            <w:pPr>
              <w:spacing w:line="440" w:lineRule="exact"/>
              <w:jc w:val="both"/>
              <w:rPr>
                <w:rFonts w:ascii="仿宋_GB2312" w:hAnsi="仿宋_GB2312" w:eastAsia="仿宋_GB2312" w:cs="仿宋_GB2312"/>
                <w:spacing w:val="-2"/>
                <w:sz w:val="24"/>
                <w:szCs w:val="24"/>
              </w:rPr>
            </w:pP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可持续发展</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股东回报</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信息传递</w:t>
            </w:r>
          </w:p>
        </w:tc>
        <w:tc>
          <w:tcPr>
            <w:tcW w:w="1874"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董事会办公室</w:t>
            </w:r>
          </w:p>
          <w:p>
            <w:pPr>
              <w:spacing w:line="440" w:lineRule="exact"/>
              <w:jc w:val="both"/>
              <w:rPr>
                <w:rFonts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客户</w:t>
            </w:r>
          </w:p>
        </w:tc>
        <w:tc>
          <w:tcPr>
            <w:tcW w:w="1839"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精准捕捉市场需求；增强客户黏性与品牌忠诚度；促进销售转化与复购</w:t>
            </w: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走访和调研</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满意度调查</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合同履约</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大客户专属服务</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建立客户画像</w:t>
            </w: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诚信履约</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品质保证</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优质服务</w:t>
            </w:r>
          </w:p>
        </w:tc>
        <w:tc>
          <w:tcPr>
            <w:tcW w:w="1874"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煤炭运输部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计划发展部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社区（运营当地的居民）</w:t>
            </w:r>
          </w:p>
        </w:tc>
        <w:tc>
          <w:tcPr>
            <w:tcW w:w="1839"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预防和化解社会冲突；获取在地化运营支持；塑造负责任企业形象；促进区域协同发展等</w:t>
            </w: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环境影响评估</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声明与承诺</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环境数据采集与披露</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社区沟通与交流</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公众开放日</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公益活动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乡村振兴</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尊重当地习俗</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媒体沟通</w:t>
            </w: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应对气候变化</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水资源保护</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污染防治</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节能减排</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生物多样性</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社区发展</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公益活动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带动就业</w:t>
            </w:r>
          </w:p>
        </w:tc>
        <w:tc>
          <w:tcPr>
            <w:tcW w:w="1874"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办公室</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党建工作部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计划发展部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国际业务部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行业协会与合作伙伴</w:t>
            </w:r>
          </w:p>
        </w:tc>
        <w:tc>
          <w:tcPr>
            <w:tcW w:w="1839"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构建产业生态；提升产业链韧性；推动协同创新；深化合作，实现资源整合、风险共担与价值共创，提升市场竞争力</w:t>
            </w: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合同履约</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公开采购、电子采购</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业务合作</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专题培训</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经验交流</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技术合作</w:t>
            </w: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商业道德</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透明采购</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互利共赢</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公平竞争</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促进行业进步</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推动产业链发展</w:t>
            </w:r>
          </w:p>
        </w:tc>
        <w:tc>
          <w:tcPr>
            <w:tcW w:w="1874"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企业管理与法律事务部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计划发展部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煤炭运输部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董事会办公室</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科技信息部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167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媒体与分析师</w:t>
            </w:r>
          </w:p>
        </w:tc>
        <w:tc>
          <w:tcPr>
            <w:tcW w:w="1839"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准确传递企业价值；加强市场预期管理；优化投资者结构；加强舆情防控；塑造良好企业形象</w:t>
            </w: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业绩说明会</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新闻发布会</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公司媒体</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股东大会</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信息披露</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路演和交流</w:t>
            </w:r>
          </w:p>
        </w:tc>
        <w:tc>
          <w:tcPr>
            <w:tcW w:w="1762"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转型发展</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生产经营</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重大投资</w:t>
            </w:r>
          </w:p>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社会责任</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股东回报</w:t>
            </w:r>
          </w:p>
        </w:tc>
        <w:tc>
          <w:tcPr>
            <w:tcW w:w="1874" w:type="dxa"/>
          </w:tcPr>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党建工作部</w:t>
            </w:r>
          </w:p>
          <w:p>
            <w:pPr>
              <w:spacing w:line="440" w:lineRule="exact"/>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董事会办公室</w:t>
            </w:r>
          </w:p>
        </w:tc>
      </w:tr>
    </w:tbl>
    <w:p>
      <w:pPr>
        <w:spacing w:line="640" w:lineRule="exact"/>
        <w:ind w:firstLine="657" w:firstLineChars="208"/>
        <w:jc w:val="both"/>
        <w:rPr>
          <w:rFonts w:ascii="仿宋_GB2312" w:hAnsi="仿宋_GB2312" w:eastAsia="仿宋_GB2312" w:cs="仿宋_GB2312"/>
          <w:spacing w:val="-2"/>
          <w:sz w:val="32"/>
          <w:szCs w:val="32"/>
        </w:rPr>
      </w:pPr>
    </w:p>
    <w:p>
      <w:pPr>
        <w:spacing w:line="640" w:lineRule="exact"/>
        <w:jc w:val="center"/>
        <w:rPr>
          <w:rFonts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第五章 沟通机制与评估</w:t>
      </w:r>
    </w:p>
    <w:p>
      <w:pPr>
        <w:spacing w:line="640" w:lineRule="exact"/>
        <w:ind w:firstLine="657" w:firstLineChars="2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为确保持续、有效、透明的利益相关方沟通，各部门沟通执行需遵循合规性、针对性、及时性原则，将沟通成果转化为公司可持续发展的实际价值。沟通活动须按要求定期跟踪并填报《利益相关方沟通台账》（详见附件</w:t>
      </w:r>
      <w:r>
        <w:rPr>
          <w:rFonts w:ascii="仿宋_GB2312" w:hAnsi="仿宋_GB2312" w:eastAsia="仿宋_GB2312" w:cs="仿宋_GB2312"/>
          <w:spacing w:val="-2"/>
          <w:sz w:val="32"/>
          <w:szCs w:val="32"/>
        </w:rPr>
        <w:t>1），</w:t>
      </w:r>
      <w:r>
        <w:rPr>
          <w:rFonts w:hint="eastAsia" w:ascii="仿宋_GB2312" w:hAnsi="仿宋_GB2312" w:eastAsia="仿宋_GB2312" w:cs="仿宋_GB2312"/>
          <w:spacing w:val="-2"/>
          <w:sz w:val="32"/>
          <w:szCs w:val="32"/>
        </w:rPr>
        <w:t>完整</w:t>
      </w:r>
      <w:r>
        <w:rPr>
          <w:rFonts w:ascii="仿宋_GB2312" w:hAnsi="仿宋_GB2312" w:eastAsia="仿宋_GB2312" w:cs="仿宋_GB2312"/>
          <w:spacing w:val="-2"/>
          <w:sz w:val="32"/>
          <w:szCs w:val="32"/>
        </w:rPr>
        <w:t>记录沟通日期、</w:t>
      </w:r>
      <w:r>
        <w:rPr>
          <w:rFonts w:hint="eastAsia" w:ascii="仿宋_GB2312" w:hAnsi="仿宋_GB2312" w:eastAsia="仿宋_GB2312" w:cs="仿宋_GB2312"/>
          <w:spacing w:val="-2"/>
          <w:sz w:val="32"/>
          <w:szCs w:val="32"/>
        </w:rPr>
        <w:t>频次</w:t>
      </w:r>
      <w:r>
        <w:rPr>
          <w:rFonts w:ascii="仿宋_GB2312" w:hAnsi="仿宋_GB2312" w:eastAsia="仿宋_GB2312" w:cs="仿宋_GB2312"/>
          <w:spacing w:val="-2"/>
          <w:sz w:val="32"/>
          <w:szCs w:val="32"/>
        </w:rPr>
        <w:t>、方式、对象</w:t>
      </w:r>
      <w:r>
        <w:rPr>
          <w:rFonts w:hint="eastAsia" w:ascii="仿宋_GB2312" w:hAnsi="仿宋_GB2312" w:eastAsia="仿宋_GB2312" w:cs="仿宋_GB2312"/>
          <w:spacing w:val="-2"/>
          <w:sz w:val="32"/>
          <w:szCs w:val="32"/>
        </w:rPr>
        <w:t>及核心</w:t>
      </w:r>
      <w:r>
        <w:rPr>
          <w:rFonts w:ascii="仿宋_GB2312" w:hAnsi="仿宋_GB2312" w:eastAsia="仿宋_GB2312" w:cs="仿宋_GB2312"/>
          <w:spacing w:val="-2"/>
          <w:sz w:val="32"/>
          <w:szCs w:val="32"/>
        </w:rPr>
        <w:t>内容等关键信息</w:t>
      </w:r>
      <w:r>
        <w:rPr>
          <w:rFonts w:hint="eastAsia" w:ascii="仿宋_GB2312" w:hAnsi="仿宋_GB2312" w:eastAsia="仿宋_GB2312" w:cs="仿宋_GB2312"/>
          <w:spacing w:val="-2"/>
          <w:sz w:val="32"/>
          <w:szCs w:val="32"/>
        </w:rPr>
        <w:t>，</w:t>
      </w:r>
      <w:r>
        <w:rPr>
          <w:rFonts w:ascii="仿宋_GB2312" w:hAnsi="仿宋_GB2312" w:eastAsia="仿宋_GB2312" w:cs="仿宋_GB2312"/>
          <w:spacing w:val="-2"/>
          <w:sz w:val="32"/>
          <w:szCs w:val="32"/>
        </w:rPr>
        <w:t>确保沟通全程可追溯，为后续评估提供数据基础。</w:t>
      </w:r>
      <w:r>
        <w:rPr>
          <w:rFonts w:hint="eastAsia" w:ascii="仿宋_GB2312" w:hAnsi="仿宋_GB2312" w:eastAsia="仿宋_GB2312" w:cs="仿宋_GB2312"/>
          <w:spacing w:val="-2"/>
          <w:sz w:val="32"/>
          <w:szCs w:val="32"/>
        </w:rPr>
        <w:t>沟通评估旨在衡量沟通活动的有效性，并将结果用于驱动公司管理改进和品牌价值创造。各责任主体须每年度开展沟通效果自评，通过复盘分析等形式，分析执行情况与成果，并按要求填报《评估调查问卷》（详见附件</w:t>
      </w:r>
      <w:r>
        <w:rPr>
          <w:rFonts w:ascii="仿宋_GB2312" w:hAnsi="仿宋_GB2312" w:eastAsia="仿宋_GB2312" w:cs="仿宋_GB2312"/>
          <w:spacing w:val="-2"/>
          <w:sz w:val="32"/>
          <w:szCs w:val="32"/>
        </w:rPr>
        <w:t>2）</w:t>
      </w:r>
      <w:r>
        <w:rPr>
          <w:rFonts w:hint="eastAsia" w:ascii="仿宋_GB2312" w:hAnsi="仿宋_GB2312" w:eastAsia="仿宋_GB2312" w:cs="仿宋_GB2312"/>
          <w:spacing w:val="-2"/>
          <w:sz w:val="32"/>
          <w:szCs w:val="32"/>
        </w:rPr>
        <w:t>。针对突发重大影响事件，应及时升级处理，确保沟通全程可追溯、可改进，形成闭环管理。</w:t>
      </w:r>
    </w:p>
    <w:p>
      <w:pPr>
        <w:widowControl/>
        <w:autoSpaceDE/>
        <w:autoSpaceDN/>
        <w:rPr>
          <w:rFonts w:ascii="仿宋_GB2312" w:hAnsi="仿宋_GB2312" w:eastAsia="仿宋_GB2312" w:cs="仿宋_GB2312"/>
          <w:snapToGrid w:val="0"/>
          <w:sz w:val="32"/>
          <w:szCs w:val="32"/>
          <w:lang w:bidi="zh-CN"/>
        </w:rPr>
      </w:pPr>
      <w:r>
        <w:rPr>
          <w:rFonts w:ascii="仿宋_GB2312" w:hAnsi="仿宋_GB2312" w:eastAsia="仿宋_GB2312" w:cs="仿宋_GB2312"/>
          <w:snapToGrid w:val="0"/>
          <w:sz w:val="32"/>
          <w:szCs w:val="32"/>
          <w:lang w:bidi="zh-CN"/>
        </w:rPr>
        <w:br w:type="page"/>
      </w:r>
    </w:p>
    <w:p>
      <w:pPr>
        <w:jc w:val="both"/>
        <w:rPr>
          <w:rFonts w:ascii="仿宋_GB2312" w:hAnsi="仿宋_GB2312" w:eastAsia="仿宋_GB2312" w:cs="仿宋_GB2312"/>
          <w:snapToGrid w:val="0"/>
          <w:sz w:val="32"/>
          <w:szCs w:val="32"/>
          <w:lang w:bidi="zh-CN"/>
        </w:rPr>
      </w:pPr>
      <w:r>
        <w:rPr>
          <w:rFonts w:hint="eastAsia" w:ascii="仿宋_GB2312" w:hAnsi="仿宋_GB2312" w:eastAsia="仿宋_GB2312" w:cs="仿宋_GB2312"/>
          <w:snapToGrid w:val="0"/>
          <w:sz w:val="32"/>
          <w:szCs w:val="32"/>
          <w:lang w:bidi="zh-CN"/>
        </w:rPr>
        <w:t>附件1：</w:t>
      </w:r>
    </w:p>
    <w:p>
      <w:pPr>
        <w:jc w:val="center"/>
        <w:rPr>
          <w:rFonts w:ascii="仿宋_GB2312" w:hAnsi="仿宋_GB2312" w:eastAsia="仿宋_GB2312" w:cs="仿宋_GB2312"/>
          <w:snapToGrid w:val="0"/>
          <w:sz w:val="28"/>
          <w:szCs w:val="28"/>
          <w:lang w:bidi="zh-CN"/>
        </w:rPr>
      </w:pPr>
      <w:r>
        <w:rPr>
          <w:rFonts w:hint="eastAsia" w:ascii="方正小标宋简体" w:hAnsi="方正小标宋简体" w:eastAsia="方正小标宋简体" w:cs="方正小标宋简体"/>
          <w:snapToGrid w:val="0"/>
          <w:sz w:val="44"/>
          <w:szCs w:val="44"/>
          <w:lang w:val="zh-CN" w:bidi="zh-CN"/>
        </w:rPr>
        <w:t>利益相关方沟通台账</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293"/>
        <w:gridCol w:w="1286"/>
        <w:gridCol w:w="1405"/>
        <w:gridCol w:w="1298"/>
        <w:gridCol w:w="1761"/>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480" w:type="dxa"/>
          </w:tcPr>
          <w:p>
            <w:pPr>
              <w:pStyle w:val="4"/>
              <w:jc w:val="center"/>
              <w:rPr>
                <w:b/>
                <w:bCs/>
                <w:sz w:val="28"/>
                <w:szCs w:val="28"/>
              </w:rPr>
            </w:pPr>
            <w:r>
              <w:rPr>
                <w:rFonts w:hint="eastAsia"/>
                <w:b/>
                <w:bCs/>
                <w:sz w:val="28"/>
                <w:szCs w:val="28"/>
              </w:rPr>
              <w:t>部门</w:t>
            </w:r>
          </w:p>
        </w:tc>
        <w:tc>
          <w:tcPr>
            <w:tcW w:w="2059" w:type="dxa"/>
          </w:tcPr>
          <w:p>
            <w:pPr>
              <w:jc w:val="center"/>
              <w:rPr>
                <w:b/>
                <w:bCs/>
                <w:snapToGrid w:val="0"/>
                <w:sz w:val="28"/>
                <w:szCs w:val="28"/>
              </w:rPr>
            </w:pPr>
            <w:r>
              <w:rPr>
                <w:rFonts w:hint="eastAsia"/>
                <w:b/>
                <w:bCs/>
                <w:snapToGrid w:val="0"/>
                <w:sz w:val="28"/>
                <w:szCs w:val="28"/>
              </w:rPr>
              <w:t>沟通日期</w:t>
            </w:r>
          </w:p>
        </w:tc>
        <w:tc>
          <w:tcPr>
            <w:tcW w:w="2047" w:type="dxa"/>
          </w:tcPr>
          <w:p>
            <w:pPr>
              <w:jc w:val="center"/>
              <w:rPr>
                <w:b/>
                <w:bCs/>
                <w:snapToGrid w:val="0"/>
                <w:sz w:val="28"/>
                <w:szCs w:val="28"/>
              </w:rPr>
            </w:pPr>
            <w:r>
              <w:rPr>
                <w:rFonts w:hint="eastAsia"/>
                <w:b/>
                <w:bCs/>
                <w:snapToGrid w:val="0"/>
                <w:sz w:val="28"/>
                <w:szCs w:val="28"/>
              </w:rPr>
              <w:t>沟通频次</w:t>
            </w:r>
          </w:p>
        </w:tc>
        <w:tc>
          <w:tcPr>
            <w:tcW w:w="2011" w:type="dxa"/>
          </w:tcPr>
          <w:p>
            <w:pPr>
              <w:jc w:val="center"/>
              <w:rPr>
                <w:b/>
                <w:bCs/>
                <w:snapToGrid w:val="0"/>
                <w:sz w:val="28"/>
                <w:szCs w:val="28"/>
              </w:rPr>
            </w:pPr>
            <w:r>
              <w:rPr>
                <w:rFonts w:hint="eastAsia"/>
                <w:b/>
                <w:bCs/>
                <w:snapToGrid w:val="0"/>
                <w:sz w:val="28"/>
                <w:szCs w:val="28"/>
              </w:rPr>
              <w:t>沟通方式</w:t>
            </w:r>
          </w:p>
        </w:tc>
        <w:tc>
          <w:tcPr>
            <w:tcW w:w="2070" w:type="dxa"/>
          </w:tcPr>
          <w:p>
            <w:pPr>
              <w:jc w:val="center"/>
              <w:rPr>
                <w:b/>
                <w:bCs/>
                <w:snapToGrid w:val="0"/>
                <w:sz w:val="28"/>
                <w:szCs w:val="28"/>
              </w:rPr>
            </w:pPr>
            <w:r>
              <w:rPr>
                <w:rFonts w:hint="eastAsia"/>
                <w:b/>
                <w:bCs/>
                <w:snapToGrid w:val="0"/>
                <w:sz w:val="28"/>
                <w:szCs w:val="28"/>
              </w:rPr>
              <w:t>沟通对象</w:t>
            </w:r>
          </w:p>
        </w:tc>
        <w:tc>
          <w:tcPr>
            <w:tcW w:w="2979" w:type="dxa"/>
          </w:tcPr>
          <w:p>
            <w:pPr>
              <w:jc w:val="center"/>
              <w:rPr>
                <w:b/>
                <w:bCs/>
                <w:snapToGrid w:val="0"/>
                <w:sz w:val="28"/>
                <w:szCs w:val="28"/>
              </w:rPr>
            </w:pPr>
            <w:r>
              <w:rPr>
                <w:rFonts w:hint="eastAsia"/>
                <w:b/>
                <w:bCs/>
                <w:snapToGrid w:val="0"/>
                <w:sz w:val="28"/>
                <w:szCs w:val="28"/>
              </w:rPr>
              <w:t>沟通要点</w:t>
            </w:r>
          </w:p>
        </w:tc>
        <w:tc>
          <w:tcPr>
            <w:tcW w:w="1302" w:type="dxa"/>
          </w:tcPr>
          <w:p>
            <w:pPr>
              <w:jc w:val="center"/>
              <w:rPr>
                <w:b/>
                <w:bCs/>
                <w:snapToGrid w:val="0"/>
                <w:sz w:val="28"/>
                <w:szCs w:val="28"/>
              </w:rPr>
            </w:pPr>
            <w:r>
              <w:rPr>
                <w:rFonts w:hint="eastAsia"/>
                <w:b/>
                <w:bCs/>
                <w:snapToGrid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480" w:type="dxa"/>
          </w:tcPr>
          <w:p>
            <w:pPr>
              <w:rPr>
                <w:snapToGrid w:val="0"/>
                <w:color w:val="808080" w:themeColor="text1" w:themeTint="80"/>
                <w:sz w:val="28"/>
                <w:szCs w:val="28"/>
                <w14:textFill>
                  <w14:solidFill>
                    <w14:schemeClr w14:val="tx1">
                      <w14:lumMod w14:val="50000"/>
                      <w14:lumOff w14:val="50000"/>
                    </w14:schemeClr>
                  </w14:solidFill>
                </w14:textFill>
              </w:rPr>
            </w:pPr>
            <w:r>
              <w:rPr>
                <w:rFonts w:hint="eastAsia"/>
                <w:snapToGrid w:val="0"/>
                <w:color w:val="808080" w:themeColor="text1" w:themeTint="80"/>
                <w:sz w:val="28"/>
                <w:szCs w:val="28"/>
                <w14:textFill>
                  <w14:solidFill>
                    <w14:schemeClr w14:val="tx1">
                      <w14:lumMod w14:val="50000"/>
                      <w14:lumOff w14:val="50000"/>
                    </w14:schemeClr>
                  </w14:solidFill>
                </w14:textFill>
              </w:rPr>
              <w:t>XX部</w:t>
            </w:r>
          </w:p>
        </w:tc>
        <w:tc>
          <w:tcPr>
            <w:tcW w:w="2059" w:type="dxa"/>
          </w:tcPr>
          <w:p>
            <w:pPr>
              <w:rPr>
                <w:snapToGrid w:val="0"/>
                <w:color w:val="808080" w:themeColor="text1" w:themeTint="80"/>
                <w:sz w:val="28"/>
                <w:szCs w:val="28"/>
                <w14:textFill>
                  <w14:solidFill>
                    <w14:schemeClr w14:val="tx1">
                      <w14:lumMod w14:val="50000"/>
                      <w14:lumOff w14:val="50000"/>
                    </w14:schemeClr>
                  </w14:solidFill>
                </w14:textFill>
              </w:rPr>
            </w:pPr>
            <w:r>
              <w:rPr>
                <w:rFonts w:hint="eastAsia"/>
                <w:snapToGrid w:val="0"/>
                <w:color w:val="808080" w:themeColor="text1" w:themeTint="80"/>
                <w:sz w:val="28"/>
                <w:szCs w:val="28"/>
                <w14:textFill>
                  <w14:solidFill>
                    <w14:schemeClr w14:val="tx1">
                      <w14:lumMod w14:val="50000"/>
                      <w14:lumOff w14:val="50000"/>
                    </w14:schemeClr>
                  </w14:solidFill>
                </w14:textFill>
              </w:rPr>
              <w:t>年月日</w:t>
            </w:r>
          </w:p>
        </w:tc>
        <w:tc>
          <w:tcPr>
            <w:tcW w:w="2047" w:type="dxa"/>
          </w:tcPr>
          <w:p>
            <w:pPr>
              <w:rPr>
                <w:snapToGrid w:val="0"/>
                <w:color w:val="808080" w:themeColor="text1" w:themeTint="80"/>
                <w:sz w:val="28"/>
                <w:szCs w:val="28"/>
                <w14:textFill>
                  <w14:solidFill>
                    <w14:schemeClr w14:val="tx1">
                      <w14:lumMod w14:val="50000"/>
                      <w14:lumOff w14:val="50000"/>
                    </w14:schemeClr>
                  </w14:solidFill>
                </w14:textFill>
              </w:rPr>
            </w:pPr>
            <w:r>
              <w:rPr>
                <w:rFonts w:hint="eastAsia"/>
                <w:snapToGrid w:val="0"/>
                <w:color w:val="808080" w:themeColor="text1" w:themeTint="80"/>
                <w:sz w:val="28"/>
                <w:szCs w:val="28"/>
                <w14:textFill>
                  <w14:solidFill>
                    <w14:schemeClr w14:val="tx1">
                      <w14:lumMod w14:val="50000"/>
                      <w14:lumOff w14:val="50000"/>
                    </w14:schemeClr>
                  </w14:solidFill>
                </w14:textFill>
              </w:rPr>
              <w:t>每年X次</w:t>
            </w:r>
          </w:p>
        </w:tc>
        <w:tc>
          <w:tcPr>
            <w:tcW w:w="2011" w:type="dxa"/>
          </w:tcPr>
          <w:p>
            <w:pPr>
              <w:rPr>
                <w:snapToGrid w:val="0"/>
                <w:color w:val="808080" w:themeColor="text1" w:themeTint="80"/>
                <w:sz w:val="28"/>
                <w:szCs w:val="28"/>
                <w14:textFill>
                  <w14:solidFill>
                    <w14:schemeClr w14:val="tx1">
                      <w14:lumMod w14:val="50000"/>
                      <w14:lumOff w14:val="50000"/>
                    </w14:schemeClr>
                  </w14:solidFill>
                </w14:textFill>
              </w:rPr>
            </w:pPr>
            <w:r>
              <w:rPr>
                <w:rFonts w:hint="eastAsia"/>
                <w:snapToGrid w:val="0"/>
                <w:color w:val="808080" w:themeColor="text1" w:themeTint="80"/>
                <w:sz w:val="28"/>
                <w:szCs w:val="28"/>
                <w14:textFill>
                  <w14:solidFill>
                    <w14:schemeClr w14:val="tx1">
                      <w14:lumMod w14:val="50000"/>
                      <w14:lumOff w14:val="50000"/>
                    </w14:schemeClr>
                  </w14:solidFill>
                </w14:textFill>
              </w:rPr>
              <w:t>线上会议/邮件/电话/信箱等；</w:t>
            </w:r>
          </w:p>
          <w:p>
            <w:pPr>
              <w:rPr>
                <w:snapToGrid w:val="0"/>
                <w:color w:val="808080" w:themeColor="text1" w:themeTint="80"/>
                <w:sz w:val="28"/>
                <w:szCs w:val="28"/>
                <w14:textFill>
                  <w14:solidFill>
                    <w14:schemeClr w14:val="tx1">
                      <w14:lumMod w14:val="50000"/>
                      <w14:lumOff w14:val="50000"/>
                    </w14:schemeClr>
                  </w14:solidFill>
                </w14:textFill>
              </w:rPr>
            </w:pPr>
            <w:r>
              <w:rPr>
                <w:rFonts w:hint="eastAsia"/>
                <w:snapToGrid w:val="0"/>
                <w:color w:val="808080" w:themeColor="text1" w:themeTint="80"/>
                <w:sz w:val="28"/>
                <w:szCs w:val="28"/>
                <w14:textFill>
                  <w14:solidFill>
                    <w14:schemeClr w14:val="tx1">
                      <w14:lumMod w14:val="50000"/>
                      <w14:lumOff w14:val="50000"/>
                    </w14:schemeClr>
                  </w14:solidFill>
                </w14:textFill>
              </w:rPr>
              <w:t>线下调研/座谈/走访/文化活动等</w:t>
            </w:r>
          </w:p>
        </w:tc>
        <w:tc>
          <w:tcPr>
            <w:tcW w:w="2070" w:type="dxa"/>
          </w:tcPr>
          <w:p>
            <w:pPr>
              <w:rPr>
                <w:snapToGrid w:val="0"/>
                <w:color w:val="808080" w:themeColor="text1" w:themeTint="80"/>
                <w:sz w:val="28"/>
                <w:szCs w:val="28"/>
                <w14:textFill>
                  <w14:solidFill>
                    <w14:schemeClr w14:val="tx1">
                      <w14:lumMod w14:val="50000"/>
                      <w14:lumOff w14:val="50000"/>
                    </w14:schemeClr>
                  </w14:solidFill>
                </w14:textFill>
              </w:rPr>
            </w:pPr>
            <w:r>
              <w:rPr>
                <w:rFonts w:hint="eastAsia"/>
                <w:snapToGrid w:val="0"/>
                <w:color w:val="808080" w:themeColor="text1" w:themeTint="80"/>
                <w:sz w:val="28"/>
                <w:szCs w:val="28"/>
                <w14:textFill>
                  <w14:solidFill>
                    <w14:schemeClr w14:val="tx1">
                      <w14:lumMod w14:val="50000"/>
                      <w14:lumOff w14:val="50000"/>
                    </w14:schemeClr>
                  </w14:solidFill>
                </w14:textFill>
              </w:rPr>
              <w:t>政府与监管机构/股东与投资者/客户/员工/社区/媒体/行业与伙伴</w:t>
            </w:r>
          </w:p>
        </w:tc>
        <w:tc>
          <w:tcPr>
            <w:tcW w:w="2979" w:type="dxa"/>
          </w:tcPr>
          <w:p>
            <w:pPr>
              <w:rPr>
                <w:snapToGrid w:val="0"/>
                <w:color w:val="808080" w:themeColor="text1" w:themeTint="80"/>
                <w:sz w:val="28"/>
                <w:szCs w:val="28"/>
                <w14:textFill>
                  <w14:solidFill>
                    <w14:schemeClr w14:val="tx1">
                      <w14:lumMod w14:val="50000"/>
                      <w14:lumOff w14:val="50000"/>
                    </w14:schemeClr>
                  </w14:solidFill>
                </w14:textFill>
              </w:rPr>
            </w:pPr>
          </w:p>
        </w:tc>
        <w:tc>
          <w:tcPr>
            <w:tcW w:w="1302" w:type="dxa"/>
          </w:tcPr>
          <w:p>
            <w:pPr>
              <w:rPr>
                <w:snapToGrid w:val="0"/>
                <w:color w:val="808080" w:themeColor="text1" w:themeTint="80"/>
                <w:sz w:val="28"/>
                <w:szCs w:val="28"/>
                <w14:textFill>
                  <w14:solidFill>
                    <w14:schemeClr w14:val="tx1">
                      <w14:lumMod w14:val="50000"/>
                      <w14:lumOff w14:val="50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480" w:type="dxa"/>
          </w:tcPr>
          <w:p>
            <w:pPr>
              <w:rPr>
                <w:snapToGrid w:val="0"/>
                <w:sz w:val="28"/>
                <w:szCs w:val="28"/>
              </w:rPr>
            </w:pPr>
          </w:p>
        </w:tc>
        <w:tc>
          <w:tcPr>
            <w:tcW w:w="2059" w:type="dxa"/>
          </w:tcPr>
          <w:p>
            <w:pPr>
              <w:rPr>
                <w:snapToGrid w:val="0"/>
                <w:sz w:val="28"/>
                <w:szCs w:val="28"/>
              </w:rPr>
            </w:pPr>
          </w:p>
        </w:tc>
        <w:tc>
          <w:tcPr>
            <w:tcW w:w="2047" w:type="dxa"/>
          </w:tcPr>
          <w:p>
            <w:pPr>
              <w:rPr>
                <w:snapToGrid w:val="0"/>
                <w:sz w:val="28"/>
                <w:szCs w:val="28"/>
              </w:rPr>
            </w:pPr>
          </w:p>
        </w:tc>
        <w:tc>
          <w:tcPr>
            <w:tcW w:w="2011" w:type="dxa"/>
          </w:tcPr>
          <w:p>
            <w:pPr>
              <w:rPr>
                <w:snapToGrid w:val="0"/>
                <w:sz w:val="28"/>
                <w:szCs w:val="28"/>
              </w:rPr>
            </w:pPr>
          </w:p>
        </w:tc>
        <w:tc>
          <w:tcPr>
            <w:tcW w:w="2070" w:type="dxa"/>
          </w:tcPr>
          <w:p>
            <w:pPr>
              <w:rPr>
                <w:snapToGrid w:val="0"/>
                <w:sz w:val="28"/>
                <w:szCs w:val="28"/>
              </w:rPr>
            </w:pPr>
          </w:p>
        </w:tc>
        <w:tc>
          <w:tcPr>
            <w:tcW w:w="2979" w:type="dxa"/>
          </w:tcPr>
          <w:p>
            <w:pPr>
              <w:rPr>
                <w:snapToGrid w:val="0"/>
                <w:sz w:val="28"/>
                <w:szCs w:val="28"/>
              </w:rPr>
            </w:pPr>
          </w:p>
        </w:tc>
        <w:tc>
          <w:tcPr>
            <w:tcW w:w="1302" w:type="dxa"/>
          </w:tcPr>
          <w:p>
            <w:pPr>
              <w:rPr>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480" w:type="dxa"/>
          </w:tcPr>
          <w:p>
            <w:pPr>
              <w:rPr>
                <w:snapToGrid w:val="0"/>
                <w:sz w:val="28"/>
                <w:szCs w:val="28"/>
              </w:rPr>
            </w:pPr>
          </w:p>
        </w:tc>
        <w:tc>
          <w:tcPr>
            <w:tcW w:w="2059" w:type="dxa"/>
          </w:tcPr>
          <w:p>
            <w:pPr>
              <w:rPr>
                <w:snapToGrid w:val="0"/>
                <w:sz w:val="28"/>
                <w:szCs w:val="28"/>
              </w:rPr>
            </w:pPr>
          </w:p>
        </w:tc>
        <w:tc>
          <w:tcPr>
            <w:tcW w:w="2047" w:type="dxa"/>
          </w:tcPr>
          <w:p>
            <w:pPr>
              <w:rPr>
                <w:snapToGrid w:val="0"/>
                <w:sz w:val="28"/>
                <w:szCs w:val="28"/>
              </w:rPr>
            </w:pPr>
          </w:p>
        </w:tc>
        <w:tc>
          <w:tcPr>
            <w:tcW w:w="2011" w:type="dxa"/>
          </w:tcPr>
          <w:p>
            <w:pPr>
              <w:rPr>
                <w:snapToGrid w:val="0"/>
                <w:sz w:val="28"/>
                <w:szCs w:val="28"/>
              </w:rPr>
            </w:pPr>
          </w:p>
        </w:tc>
        <w:tc>
          <w:tcPr>
            <w:tcW w:w="2070" w:type="dxa"/>
          </w:tcPr>
          <w:p>
            <w:pPr>
              <w:rPr>
                <w:snapToGrid w:val="0"/>
                <w:sz w:val="28"/>
                <w:szCs w:val="28"/>
              </w:rPr>
            </w:pPr>
          </w:p>
        </w:tc>
        <w:tc>
          <w:tcPr>
            <w:tcW w:w="2979" w:type="dxa"/>
          </w:tcPr>
          <w:p>
            <w:pPr>
              <w:rPr>
                <w:snapToGrid w:val="0"/>
                <w:sz w:val="28"/>
                <w:szCs w:val="28"/>
              </w:rPr>
            </w:pPr>
          </w:p>
        </w:tc>
        <w:tc>
          <w:tcPr>
            <w:tcW w:w="1302" w:type="dxa"/>
          </w:tcPr>
          <w:p>
            <w:pPr>
              <w:rPr>
                <w:snapToGrid w:val="0"/>
                <w:sz w:val="28"/>
                <w:szCs w:val="28"/>
              </w:rPr>
            </w:pPr>
          </w:p>
        </w:tc>
      </w:tr>
    </w:tbl>
    <w:p>
      <w:pPr>
        <w:spacing w:line="640" w:lineRule="exact"/>
        <w:ind w:firstLine="657" w:firstLineChars="208"/>
        <w:jc w:val="both"/>
        <w:rPr>
          <w:rFonts w:ascii="仿宋_GB2312" w:hAnsi="仿宋_GB2312" w:eastAsia="仿宋_GB2312" w:cs="仿宋_GB2312"/>
          <w:spacing w:val="-2"/>
          <w:sz w:val="32"/>
          <w:szCs w:val="32"/>
        </w:rPr>
      </w:pPr>
    </w:p>
    <w:p>
      <w:pPr>
        <w:widowControl/>
        <w:autoSpaceDE/>
        <w:autoSpaceDN/>
        <w:rPr>
          <w:rFonts w:ascii="仿宋_GB2312" w:hAnsi="仿宋_GB2312" w:eastAsia="仿宋_GB2312" w:cs="仿宋_GB2312"/>
          <w:spacing w:val="-2"/>
          <w:sz w:val="32"/>
          <w:szCs w:val="32"/>
        </w:rPr>
      </w:pPr>
      <w:r>
        <w:rPr>
          <w:rFonts w:ascii="仿宋_GB2312" w:hAnsi="仿宋_GB2312" w:eastAsia="仿宋_GB2312" w:cs="仿宋_GB2312"/>
          <w:spacing w:val="-2"/>
          <w:sz w:val="32"/>
          <w:szCs w:val="32"/>
        </w:rPr>
        <w:br w:type="page"/>
      </w:r>
    </w:p>
    <w:p>
      <w:pPr>
        <w:jc w:val="both"/>
        <w:rPr>
          <w:rFonts w:ascii="仿宋_GB2312" w:hAnsi="仿宋_GB2312" w:eastAsia="仿宋_GB2312" w:cs="仿宋_GB2312"/>
          <w:snapToGrid w:val="0"/>
          <w:sz w:val="32"/>
          <w:szCs w:val="32"/>
          <w:lang w:bidi="zh-CN"/>
        </w:rPr>
      </w:pPr>
      <w:r>
        <w:rPr>
          <w:rFonts w:hint="eastAsia" w:ascii="仿宋_GB2312" w:hAnsi="仿宋_GB2312" w:eastAsia="仿宋_GB2312" w:cs="仿宋_GB2312"/>
          <w:snapToGrid w:val="0"/>
          <w:sz w:val="32"/>
          <w:szCs w:val="32"/>
          <w:lang w:bidi="zh-CN"/>
        </w:rPr>
        <w:t>附件</w:t>
      </w:r>
      <w:r>
        <w:rPr>
          <w:rFonts w:ascii="仿宋_GB2312" w:hAnsi="仿宋_GB2312" w:eastAsia="仿宋_GB2312" w:cs="仿宋_GB2312"/>
          <w:snapToGrid w:val="0"/>
          <w:sz w:val="32"/>
          <w:szCs w:val="32"/>
          <w:lang w:bidi="zh-CN"/>
        </w:rPr>
        <w:t>2</w:t>
      </w:r>
      <w:r>
        <w:rPr>
          <w:rFonts w:hint="eastAsia" w:ascii="仿宋_GB2312" w:hAnsi="仿宋_GB2312" w:eastAsia="仿宋_GB2312" w:cs="仿宋_GB2312"/>
          <w:snapToGrid w:val="0"/>
          <w:sz w:val="32"/>
          <w:szCs w:val="32"/>
          <w:lang w:bidi="zh-CN"/>
        </w:rPr>
        <w:t>：</w:t>
      </w:r>
    </w:p>
    <w:p>
      <w:pPr>
        <w:jc w:val="center"/>
        <w:rPr>
          <w:rFonts w:ascii="方正小标宋简体" w:hAnsi="方正小标宋简体" w:eastAsia="方正小标宋简体" w:cs="方正小标宋简体"/>
          <w:snapToGrid w:val="0"/>
          <w:sz w:val="44"/>
          <w:szCs w:val="44"/>
          <w:lang w:val="zh-CN" w:bidi="zh-CN"/>
        </w:rPr>
      </w:pPr>
      <w:r>
        <w:rPr>
          <w:rFonts w:hint="eastAsia" w:ascii="方正小标宋简体" w:hAnsi="方正小标宋简体" w:eastAsia="方正小标宋简体" w:cs="方正小标宋简体"/>
          <w:snapToGrid w:val="0"/>
          <w:sz w:val="44"/>
          <w:szCs w:val="44"/>
          <w:lang w:val="zh-CN" w:bidi="zh-CN"/>
        </w:rPr>
        <w:t>利益相关方沟通评估调查问卷</w:t>
      </w:r>
    </w:p>
    <w:p>
      <w:pPr>
        <w:spacing w:line="640" w:lineRule="exact"/>
        <w:ind w:firstLine="657" w:firstLineChars="208"/>
        <w:jc w:val="right"/>
        <w:rPr>
          <w:rFonts w:ascii="仿宋_GB2312" w:hAnsi="仿宋_GB2312" w:eastAsia="仿宋_GB2312" w:cs="仿宋_GB2312"/>
          <w:spacing w:val="-2"/>
          <w:sz w:val="32"/>
          <w:szCs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2" w:type="dxa"/>
          </w:tcPr>
          <w:p>
            <w:pPr>
              <w:spacing w:line="640" w:lineRule="exact"/>
              <w:rPr>
                <w:rFonts w:ascii="仿宋_GB2312" w:hAnsi="仿宋_GB2312" w:eastAsia="仿宋_GB2312" w:cs="仿宋_GB2312"/>
                <w:i/>
                <w:iCs/>
                <w:spacing w:val="-2"/>
                <w:sz w:val="28"/>
                <w:szCs w:val="28"/>
              </w:rPr>
            </w:pPr>
            <w:r>
              <w:rPr>
                <w:rFonts w:hint="eastAsia" w:ascii="仿宋_GB2312" w:hAnsi="仿宋_GB2312" w:eastAsia="仿宋_GB2312" w:cs="仿宋_GB2312"/>
                <w:i/>
                <w:iCs/>
                <w:spacing w:val="-2"/>
                <w:sz w:val="28"/>
                <w:szCs w:val="28"/>
              </w:rPr>
              <w:t>填写说明：</w:t>
            </w:r>
          </w:p>
          <w:p>
            <w:pPr>
              <w:spacing w:line="640" w:lineRule="exact"/>
              <w:rPr>
                <w:rFonts w:ascii="仿宋_GB2312" w:hAnsi="仿宋_GB2312" w:eastAsia="仿宋_GB2312" w:cs="仿宋_GB2312"/>
                <w:i/>
                <w:iCs/>
                <w:spacing w:val="-2"/>
                <w:sz w:val="28"/>
                <w:szCs w:val="28"/>
              </w:rPr>
            </w:pPr>
            <w:r>
              <w:rPr>
                <w:rFonts w:hint="eastAsia" w:ascii="仿宋_GB2312" w:hAnsi="仿宋_GB2312" w:eastAsia="仿宋_GB2312" w:cs="仿宋_GB2312"/>
                <w:i/>
                <w:iCs/>
                <w:spacing w:val="-2"/>
                <w:sz w:val="28"/>
                <w:szCs w:val="28"/>
              </w:rPr>
              <w:t>符合程度从“完全不符合”到“完全符合”递增</w:t>
            </w:r>
          </w:p>
          <w:p>
            <w:pPr>
              <w:pStyle w:val="16"/>
              <w:numPr>
                <w:ilvl w:val="0"/>
                <w:numId w:val="8"/>
              </w:numPr>
              <w:spacing w:line="640" w:lineRule="exact"/>
              <w:ind w:firstLineChars="0"/>
              <w:jc w:val="both"/>
              <w:rPr>
                <w:rFonts w:ascii="仿宋_GB2312" w:hAnsi="仿宋_GB2312" w:eastAsia="仿宋_GB2312" w:cs="仿宋_GB2312"/>
                <w:i/>
                <w:iCs/>
                <w:spacing w:val="-2"/>
                <w:sz w:val="28"/>
                <w:szCs w:val="28"/>
              </w:rPr>
            </w:pPr>
            <w:r>
              <w:rPr>
                <w:rFonts w:hint="eastAsia" w:ascii="仿宋_GB2312" w:hAnsi="仿宋_GB2312" w:eastAsia="仿宋_GB2312" w:cs="仿宋_GB2312"/>
                <w:i/>
                <w:iCs/>
                <w:spacing w:val="-2"/>
                <w:sz w:val="28"/>
                <w:szCs w:val="28"/>
              </w:rPr>
              <w:t>完全不符合</w:t>
            </w:r>
          </w:p>
          <w:p>
            <w:pPr>
              <w:pStyle w:val="16"/>
              <w:numPr>
                <w:ilvl w:val="0"/>
                <w:numId w:val="8"/>
              </w:numPr>
              <w:spacing w:line="640" w:lineRule="exact"/>
              <w:ind w:firstLineChars="0"/>
              <w:jc w:val="both"/>
              <w:rPr>
                <w:rFonts w:ascii="仿宋_GB2312" w:hAnsi="仿宋_GB2312" w:eastAsia="仿宋_GB2312" w:cs="仿宋_GB2312"/>
                <w:i/>
                <w:iCs/>
                <w:spacing w:val="-2"/>
                <w:sz w:val="28"/>
                <w:szCs w:val="28"/>
              </w:rPr>
            </w:pPr>
            <w:r>
              <w:rPr>
                <w:rFonts w:hint="eastAsia" w:ascii="仿宋_GB2312" w:hAnsi="仿宋_GB2312" w:eastAsia="仿宋_GB2312" w:cs="仿宋_GB2312"/>
                <w:i/>
                <w:iCs/>
                <w:spacing w:val="-2"/>
                <w:sz w:val="28"/>
                <w:szCs w:val="28"/>
              </w:rPr>
              <w:t>较不符合</w:t>
            </w:r>
          </w:p>
          <w:p>
            <w:pPr>
              <w:pStyle w:val="16"/>
              <w:numPr>
                <w:ilvl w:val="0"/>
                <w:numId w:val="8"/>
              </w:numPr>
              <w:spacing w:line="640" w:lineRule="exact"/>
              <w:ind w:firstLineChars="0"/>
              <w:jc w:val="both"/>
              <w:rPr>
                <w:rFonts w:ascii="仿宋_GB2312" w:hAnsi="仿宋_GB2312" w:eastAsia="仿宋_GB2312" w:cs="仿宋_GB2312"/>
                <w:i/>
                <w:iCs/>
                <w:spacing w:val="-2"/>
                <w:sz w:val="28"/>
                <w:szCs w:val="28"/>
              </w:rPr>
            </w:pPr>
            <w:r>
              <w:rPr>
                <w:rFonts w:hint="eastAsia" w:ascii="仿宋_GB2312" w:hAnsi="仿宋_GB2312" w:eastAsia="仿宋_GB2312" w:cs="仿宋_GB2312"/>
                <w:i/>
                <w:iCs/>
                <w:spacing w:val="-2"/>
                <w:sz w:val="28"/>
                <w:szCs w:val="28"/>
              </w:rPr>
              <w:t>一般符合</w:t>
            </w:r>
          </w:p>
          <w:p>
            <w:pPr>
              <w:pStyle w:val="16"/>
              <w:numPr>
                <w:ilvl w:val="0"/>
                <w:numId w:val="8"/>
              </w:numPr>
              <w:spacing w:line="640" w:lineRule="exact"/>
              <w:ind w:firstLineChars="0"/>
              <w:jc w:val="both"/>
              <w:rPr>
                <w:rFonts w:ascii="仿宋_GB2312" w:hAnsi="仿宋_GB2312" w:eastAsia="仿宋_GB2312" w:cs="仿宋_GB2312"/>
                <w:i/>
                <w:iCs/>
                <w:spacing w:val="-2"/>
                <w:sz w:val="28"/>
                <w:szCs w:val="28"/>
              </w:rPr>
            </w:pPr>
            <w:r>
              <w:rPr>
                <w:rFonts w:hint="eastAsia" w:ascii="仿宋_GB2312" w:hAnsi="仿宋_GB2312" w:eastAsia="仿宋_GB2312" w:cs="仿宋_GB2312"/>
                <w:i/>
                <w:iCs/>
                <w:spacing w:val="-2"/>
                <w:sz w:val="28"/>
                <w:szCs w:val="28"/>
              </w:rPr>
              <w:t>比较符合</w:t>
            </w:r>
          </w:p>
          <w:p>
            <w:pPr>
              <w:pStyle w:val="16"/>
              <w:numPr>
                <w:ilvl w:val="0"/>
                <w:numId w:val="8"/>
              </w:numPr>
              <w:spacing w:line="640" w:lineRule="exact"/>
              <w:ind w:firstLineChars="0"/>
              <w:jc w:val="both"/>
              <w:rPr>
                <w:rFonts w:ascii="仿宋_GB2312" w:hAnsi="仿宋_GB2312" w:eastAsia="仿宋_GB2312" w:cs="仿宋_GB2312"/>
                <w:i/>
                <w:iCs/>
                <w:spacing w:val="-2"/>
                <w:sz w:val="28"/>
                <w:szCs w:val="28"/>
              </w:rPr>
            </w:pPr>
            <w:r>
              <w:rPr>
                <w:rFonts w:hint="eastAsia" w:ascii="仿宋_GB2312" w:hAnsi="仿宋_GB2312" w:eastAsia="仿宋_GB2312" w:cs="仿宋_GB2312"/>
                <w:i/>
                <w:iCs/>
                <w:spacing w:val="-2"/>
                <w:sz w:val="28"/>
                <w:szCs w:val="28"/>
              </w:rPr>
              <w:t>完全符合</w:t>
            </w:r>
            <w:r>
              <w:rPr>
                <w:rFonts w:ascii="仿宋_GB2312" w:hAnsi="仿宋_GB2312" w:eastAsia="仿宋_GB2312" w:cs="仿宋_GB2312"/>
                <w:i/>
                <w:iCs/>
                <w:spacing w:val="-2"/>
                <w:sz w:val="28"/>
                <w:szCs w:val="28"/>
              </w:rPr>
              <w:t xml:space="preserve"> </w:t>
            </w:r>
          </w:p>
        </w:tc>
      </w:tr>
    </w:tbl>
    <w:p>
      <w:pPr>
        <w:spacing w:line="640" w:lineRule="exact"/>
        <w:ind w:firstLine="657" w:firstLineChars="208"/>
        <w:rPr>
          <w:rFonts w:ascii="仿宋_GB2312" w:hAnsi="仿宋_GB2312" w:eastAsia="仿宋_GB2312" w:cs="仿宋_GB2312"/>
          <w:spacing w:val="-2"/>
          <w:sz w:val="32"/>
          <w:szCs w:val="32"/>
        </w:rPr>
      </w:pPr>
    </w:p>
    <w:p>
      <w:pPr>
        <w:pStyle w:val="16"/>
        <w:numPr>
          <w:ilvl w:val="0"/>
          <w:numId w:val="9"/>
        </w:numPr>
        <w:spacing w:line="640" w:lineRule="exact"/>
        <w:ind w:left="0" w:firstLine="632"/>
        <w:jc w:val="both"/>
        <w:rPr>
          <w:rFonts w:ascii="仿宋_GB2312" w:hAnsi="仿宋_GB2312" w:eastAsia="仿宋_GB2312" w:cs="仿宋_GB2312"/>
          <w:spacing w:val="-2"/>
          <w:sz w:val="32"/>
          <w:szCs w:val="32"/>
        </w:rPr>
      </w:pPr>
      <w:r>
        <w:rPr>
          <w:rFonts w:ascii="仿宋_GB2312" w:hAnsi="仿宋_GB2312" w:eastAsia="仿宋_GB2312" w:cs="仿宋_GB2312"/>
          <w:spacing w:val="-2"/>
          <w:sz w:val="32"/>
          <w:szCs w:val="32"/>
        </w:rPr>
        <w:t>沟通的过程是否顺畅？</w:t>
      </w:r>
    </w:p>
    <w:p>
      <w:pPr>
        <w:spacing w:line="640" w:lineRule="exact"/>
        <w:ind w:firstLine="1289" w:firstLineChars="4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①</w:t>
      </w:r>
      <w:r>
        <w:rPr>
          <w:rFonts w:ascii="仿宋_GB2312" w:hAnsi="仿宋_GB2312" w:eastAsia="仿宋_GB2312" w:cs="仿宋_GB2312"/>
          <w:spacing w:val="-2"/>
          <w:sz w:val="32"/>
          <w:szCs w:val="32"/>
        </w:rPr>
        <w:t xml:space="preserve"> ② ③ ④ ⑤ </w:t>
      </w:r>
    </w:p>
    <w:p>
      <w:pPr>
        <w:pStyle w:val="16"/>
        <w:numPr>
          <w:ilvl w:val="0"/>
          <w:numId w:val="9"/>
        </w:numPr>
        <w:spacing w:line="640" w:lineRule="exact"/>
        <w:ind w:left="0" w:firstLine="632"/>
        <w:jc w:val="both"/>
        <w:rPr>
          <w:rFonts w:ascii="仿宋_GB2312" w:hAnsi="仿宋_GB2312" w:eastAsia="仿宋_GB2312" w:cs="仿宋_GB2312"/>
          <w:spacing w:val="-2"/>
          <w:sz w:val="32"/>
          <w:szCs w:val="32"/>
        </w:rPr>
      </w:pPr>
      <w:r>
        <w:rPr>
          <w:rFonts w:ascii="仿宋_GB2312" w:hAnsi="仿宋_GB2312" w:eastAsia="仿宋_GB2312" w:cs="仿宋_GB2312"/>
          <w:spacing w:val="-2"/>
          <w:sz w:val="32"/>
          <w:szCs w:val="32"/>
        </w:rPr>
        <w:t>沟通的效率是否比以前更高？</w:t>
      </w:r>
    </w:p>
    <w:p>
      <w:pPr>
        <w:spacing w:line="640" w:lineRule="exact"/>
        <w:ind w:firstLine="1289" w:firstLineChars="4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①</w:t>
      </w:r>
      <w:r>
        <w:rPr>
          <w:rFonts w:ascii="仿宋_GB2312" w:hAnsi="仿宋_GB2312" w:eastAsia="仿宋_GB2312" w:cs="仿宋_GB2312"/>
          <w:spacing w:val="-2"/>
          <w:sz w:val="32"/>
          <w:szCs w:val="32"/>
        </w:rPr>
        <w:t xml:space="preserve"> ② ③ ④ ⑤</w:t>
      </w:r>
    </w:p>
    <w:p>
      <w:pPr>
        <w:pStyle w:val="16"/>
        <w:numPr>
          <w:ilvl w:val="0"/>
          <w:numId w:val="9"/>
        </w:numPr>
        <w:spacing w:line="640" w:lineRule="exact"/>
        <w:ind w:left="0" w:firstLine="632"/>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沟通的方式是否更多元化？</w:t>
      </w:r>
    </w:p>
    <w:p>
      <w:pPr>
        <w:spacing w:line="640" w:lineRule="exact"/>
        <w:ind w:firstLine="1289" w:firstLineChars="4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①</w:t>
      </w:r>
      <w:r>
        <w:rPr>
          <w:rFonts w:ascii="仿宋_GB2312" w:hAnsi="仿宋_GB2312" w:eastAsia="仿宋_GB2312" w:cs="仿宋_GB2312"/>
          <w:spacing w:val="-2"/>
          <w:sz w:val="32"/>
          <w:szCs w:val="32"/>
        </w:rPr>
        <w:t xml:space="preserve"> ② ③ ④ ⑤</w:t>
      </w:r>
    </w:p>
    <w:p>
      <w:pPr>
        <w:pStyle w:val="16"/>
        <w:numPr>
          <w:ilvl w:val="0"/>
          <w:numId w:val="9"/>
        </w:numPr>
        <w:spacing w:line="640" w:lineRule="exact"/>
        <w:ind w:left="0" w:firstLine="632"/>
        <w:jc w:val="both"/>
        <w:rPr>
          <w:rFonts w:ascii="仿宋_GB2312" w:hAnsi="仿宋_GB2312" w:eastAsia="仿宋_GB2312" w:cs="仿宋_GB2312"/>
          <w:spacing w:val="-2"/>
          <w:sz w:val="32"/>
          <w:szCs w:val="32"/>
        </w:rPr>
      </w:pPr>
      <w:r>
        <w:rPr>
          <w:rFonts w:ascii="仿宋_GB2312" w:hAnsi="仿宋_GB2312" w:eastAsia="仿宋_GB2312" w:cs="仿宋_GB2312"/>
          <w:spacing w:val="-2"/>
          <w:sz w:val="32"/>
          <w:szCs w:val="32"/>
        </w:rPr>
        <w:t>沟通双方是否清楚地理解对方的利益诉求？</w:t>
      </w:r>
    </w:p>
    <w:p>
      <w:pPr>
        <w:spacing w:line="640" w:lineRule="exact"/>
        <w:ind w:firstLine="1289" w:firstLineChars="4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①</w:t>
      </w:r>
      <w:r>
        <w:rPr>
          <w:rFonts w:ascii="仿宋_GB2312" w:hAnsi="仿宋_GB2312" w:eastAsia="仿宋_GB2312" w:cs="仿宋_GB2312"/>
          <w:spacing w:val="-2"/>
          <w:sz w:val="32"/>
          <w:szCs w:val="32"/>
        </w:rPr>
        <w:t xml:space="preserve"> ② ③ ④ ⑤</w:t>
      </w:r>
    </w:p>
    <w:p>
      <w:pPr>
        <w:pStyle w:val="16"/>
        <w:numPr>
          <w:ilvl w:val="0"/>
          <w:numId w:val="9"/>
        </w:numPr>
        <w:spacing w:line="640" w:lineRule="exact"/>
        <w:ind w:left="0" w:firstLine="632"/>
        <w:jc w:val="both"/>
        <w:rPr>
          <w:rFonts w:ascii="仿宋_GB2312" w:hAnsi="仿宋_GB2312" w:eastAsia="仿宋_GB2312" w:cs="仿宋_GB2312"/>
          <w:spacing w:val="-2"/>
          <w:sz w:val="32"/>
          <w:szCs w:val="32"/>
        </w:rPr>
      </w:pPr>
      <w:r>
        <w:rPr>
          <w:rFonts w:ascii="仿宋_GB2312" w:hAnsi="仿宋_GB2312" w:eastAsia="仿宋_GB2312" w:cs="仿宋_GB2312"/>
          <w:spacing w:val="-2"/>
          <w:sz w:val="32"/>
          <w:szCs w:val="32"/>
        </w:rPr>
        <w:t>沟通双方的人员是否建立了良好的关系？</w:t>
      </w:r>
    </w:p>
    <w:p>
      <w:pPr>
        <w:spacing w:line="640" w:lineRule="exact"/>
        <w:ind w:firstLine="1289" w:firstLineChars="4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①</w:t>
      </w:r>
      <w:r>
        <w:rPr>
          <w:rFonts w:ascii="仿宋_GB2312" w:hAnsi="仿宋_GB2312" w:eastAsia="仿宋_GB2312" w:cs="仿宋_GB2312"/>
          <w:spacing w:val="-2"/>
          <w:sz w:val="32"/>
          <w:szCs w:val="32"/>
        </w:rPr>
        <w:t xml:space="preserve"> ② ③ ④ ⑤</w:t>
      </w:r>
    </w:p>
    <w:p>
      <w:pPr>
        <w:pStyle w:val="16"/>
        <w:numPr>
          <w:ilvl w:val="0"/>
          <w:numId w:val="9"/>
        </w:numPr>
        <w:spacing w:line="640" w:lineRule="exact"/>
        <w:ind w:left="0" w:firstLine="632"/>
        <w:jc w:val="both"/>
        <w:rPr>
          <w:rFonts w:ascii="仿宋_GB2312" w:hAnsi="仿宋_GB2312" w:eastAsia="仿宋_GB2312" w:cs="仿宋_GB2312"/>
          <w:spacing w:val="-2"/>
          <w:sz w:val="32"/>
          <w:szCs w:val="32"/>
        </w:rPr>
      </w:pPr>
      <w:r>
        <w:rPr>
          <w:rFonts w:ascii="仿宋_GB2312" w:hAnsi="仿宋_GB2312" w:eastAsia="仿宋_GB2312" w:cs="仿宋_GB2312"/>
          <w:spacing w:val="-2"/>
          <w:sz w:val="32"/>
          <w:szCs w:val="32"/>
        </w:rPr>
        <w:t>沟通的结果是否有利于工作开展？</w:t>
      </w:r>
    </w:p>
    <w:p>
      <w:pPr>
        <w:spacing w:line="640" w:lineRule="exact"/>
        <w:ind w:firstLine="1289" w:firstLineChars="4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①</w:t>
      </w:r>
      <w:r>
        <w:rPr>
          <w:rFonts w:ascii="仿宋_GB2312" w:hAnsi="仿宋_GB2312" w:eastAsia="仿宋_GB2312" w:cs="仿宋_GB2312"/>
          <w:spacing w:val="-2"/>
          <w:sz w:val="32"/>
          <w:szCs w:val="32"/>
        </w:rPr>
        <w:t xml:space="preserve"> ② ③ ④ ⑤</w:t>
      </w:r>
    </w:p>
    <w:p>
      <w:pPr>
        <w:pStyle w:val="16"/>
        <w:numPr>
          <w:ilvl w:val="0"/>
          <w:numId w:val="9"/>
        </w:numPr>
        <w:spacing w:line="640" w:lineRule="exact"/>
        <w:ind w:left="0" w:firstLine="632"/>
        <w:jc w:val="both"/>
        <w:rPr>
          <w:rFonts w:ascii="仿宋_GB2312" w:hAnsi="仿宋_GB2312" w:eastAsia="仿宋_GB2312" w:cs="仿宋_GB2312"/>
          <w:spacing w:val="-2"/>
          <w:sz w:val="32"/>
          <w:szCs w:val="32"/>
        </w:rPr>
      </w:pPr>
      <w:r>
        <w:rPr>
          <w:rFonts w:ascii="仿宋_GB2312" w:hAnsi="仿宋_GB2312" w:eastAsia="仿宋_GB2312" w:cs="仿宋_GB2312"/>
          <w:spacing w:val="-2"/>
          <w:sz w:val="32"/>
          <w:szCs w:val="32"/>
        </w:rPr>
        <w:t>涉及的</w:t>
      </w:r>
      <w:r>
        <w:rPr>
          <w:rFonts w:hint="eastAsia" w:ascii="仿宋_GB2312" w:hAnsi="仿宋_GB2312" w:eastAsia="仿宋_GB2312" w:cs="仿宋_GB2312"/>
          <w:spacing w:val="-2"/>
          <w:sz w:val="32"/>
          <w:szCs w:val="32"/>
        </w:rPr>
        <w:t>利益</w:t>
      </w:r>
      <w:r>
        <w:rPr>
          <w:rFonts w:ascii="仿宋_GB2312" w:hAnsi="仿宋_GB2312" w:eastAsia="仿宋_GB2312" w:cs="仿宋_GB2312"/>
          <w:spacing w:val="-2"/>
          <w:sz w:val="32"/>
          <w:szCs w:val="32"/>
        </w:rPr>
        <w:t>相关方是否</w:t>
      </w:r>
      <w:r>
        <w:rPr>
          <w:rFonts w:hint="eastAsia" w:ascii="仿宋_GB2312" w:hAnsi="仿宋_GB2312" w:eastAsia="仿宋_GB2312" w:cs="仿宋_GB2312"/>
          <w:spacing w:val="-2"/>
          <w:sz w:val="32"/>
          <w:szCs w:val="32"/>
        </w:rPr>
        <w:t>对沟通过程或结果</w:t>
      </w:r>
      <w:r>
        <w:rPr>
          <w:rFonts w:ascii="仿宋_GB2312" w:hAnsi="仿宋_GB2312" w:eastAsia="仿宋_GB2312" w:cs="仿宋_GB2312"/>
          <w:spacing w:val="-2"/>
          <w:sz w:val="32"/>
          <w:szCs w:val="32"/>
        </w:rPr>
        <w:t>表示满意？</w:t>
      </w:r>
    </w:p>
    <w:p>
      <w:pPr>
        <w:spacing w:line="640" w:lineRule="exact"/>
        <w:ind w:firstLine="1289" w:firstLineChars="4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①</w:t>
      </w:r>
      <w:r>
        <w:rPr>
          <w:rFonts w:ascii="仿宋_GB2312" w:hAnsi="仿宋_GB2312" w:eastAsia="仿宋_GB2312" w:cs="仿宋_GB2312"/>
          <w:spacing w:val="-2"/>
          <w:sz w:val="32"/>
          <w:szCs w:val="32"/>
        </w:rPr>
        <w:t xml:space="preserve"> ② ③ ④ ⑤</w:t>
      </w:r>
    </w:p>
    <w:p>
      <w:pPr>
        <w:pStyle w:val="16"/>
        <w:numPr>
          <w:ilvl w:val="0"/>
          <w:numId w:val="9"/>
        </w:numPr>
        <w:spacing w:line="640" w:lineRule="exact"/>
        <w:ind w:left="0" w:firstLine="632"/>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相关负责人的</w:t>
      </w:r>
      <w:r>
        <w:rPr>
          <w:rFonts w:ascii="仿宋_GB2312" w:hAnsi="仿宋_GB2312" w:eastAsia="仿宋_GB2312" w:cs="仿宋_GB2312"/>
          <w:spacing w:val="-2"/>
          <w:sz w:val="32"/>
          <w:szCs w:val="32"/>
        </w:rPr>
        <w:t>沟通技巧和专业性是否得到提高？</w:t>
      </w:r>
    </w:p>
    <w:p>
      <w:pPr>
        <w:spacing w:line="640" w:lineRule="exact"/>
        <w:ind w:firstLine="1289" w:firstLineChars="408"/>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①</w:t>
      </w:r>
      <w:r>
        <w:rPr>
          <w:rFonts w:ascii="仿宋_GB2312" w:hAnsi="仿宋_GB2312" w:eastAsia="仿宋_GB2312" w:cs="仿宋_GB2312"/>
          <w:spacing w:val="-2"/>
          <w:sz w:val="32"/>
          <w:szCs w:val="32"/>
        </w:rPr>
        <w:t xml:space="preserve"> ② ③ ④ ⑤</w:t>
      </w:r>
    </w:p>
    <w:p>
      <w:pPr>
        <w:spacing w:line="640" w:lineRule="exact"/>
        <w:ind w:firstLine="0" w:firstLineChars="0"/>
        <w:jc w:val="center"/>
        <w:rPr>
          <w:rFonts w:hint="eastAsia" w:ascii="方正小标宋简体" w:hAnsi="方正小标宋简体" w:eastAsia="方正小标宋简体" w:cs="方正小标宋简体"/>
          <w:spacing w:val="-2"/>
          <w:sz w:val="44"/>
          <w:szCs w:val="44"/>
        </w:rPr>
      </w:pPr>
    </w:p>
    <w:sectPr>
      <w:footerReference r:id="rId3" w:type="default"/>
      <w:pgSz w:w="11906" w:h="16838"/>
      <w:pgMar w:top="1701" w:right="1587" w:bottom="158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A0721"/>
    <w:multiLevelType w:val="singleLevel"/>
    <w:tmpl w:val="A68A0721"/>
    <w:lvl w:ilvl="0" w:tentative="0">
      <w:start w:val="1"/>
      <w:numFmt w:val="decimal"/>
      <w:suff w:val="nothing"/>
      <w:lvlText w:val="%1．"/>
      <w:lvlJc w:val="left"/>
      <w:pPr>
        <w:ind w:left="0" w:firstLine="400"/>
      </w:pPr>
      <w:rPr>
        <w:rFonts w:hint="default"/>
      </w:rPr>
    </w:lvl>
  </w:abstractNum>
  <w:abstractNum w:abstractNumId="1">
    <w:nsid w:val="A69883BB"/>
    <w:multiLevelType w:val="singleLevel"/>
    <w:tmpl w:val="A69883BB"/>
    <w:lvl w:ilvl="0" w:tentative="0">
      <w:start w:val="1"/>
      <w:numFmt w:val="chineseCounting"/>
      <w:suff w:val="nothing"/>
      <w:lvlText w:val="%1、"/>
      <w:lvlJc w:val="left"/>
      <w:pPr>
        <w:ind w:left="0" w:firstLine="420"/>
      </w:pPr>
      <w:rPr>
        <w:rFonts w:hint="eastAsia"/>
      </w:rPr>
    </w:lvl>
  </w:abstractNum>
  <w:abstractNum w:abstractNumId="2">
    <w:nsid w:val="E4C7FE02"/>
    <w:multiLevelType w:val="singleLevel"/>
    <w:tmpl w:val="E4C7FE02"/>
    <w:lvl w:ilvl="0" w:tentative="0">
      <w:start w:val="1"/>
      <w:numFmt w:val="decimal"/>
      <w:suff w:val="nothing"/>
      <w:lvlText w:val="%1．"/>
      <w:lvlJc w:val="left"/>
      <w:pPr>
        <w:ind w:left="0" w:firstLine="400"/>
      </w:pPr>
      <w:rPr>
        <w:rFonts w:hint="default"/>
      </w:rPr>
    </w:lvl>
  </w:abstractNum>
  <w:abstractNum w:abstractNumId="3">
    <w:nsid w:val="FC3E94C0"/>
    <w:multiLevelType w:val="singleLevel"/>
    <w:tmpl w:val="FC3E94C0"/>
    <w:lvl w:ilvl="0" w:tentative="0">
      <w:start w:val="1"/>
      <w:numFmt w:val="chineseCounting"/>
      <w:suff w:val="nothing"/>
      <w:lvlText w:val="%1、"/>
      <w:lvlJc w:val="left"/>
      <w:pPr>
        <w:ind w:left="0" w:firstLine="420"/>
      </w:pPr>
      <w:rPr>
        <w:rFonts w:hint="eastAsia"/>
      </w:rPr>
    </w:lvl>
  </w:abstractNum>
  <w:abstractNum w:abstractNumId="4">
    <w:nsid w:val="2A390D9F"/>
    <w:multiLevelType w:val="multilevel"/>
    <w:tmpl w:val="2A390D9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BFC3FA0"/>
    <w:multiLevelType w:val="singleLevel"/>
    <w:tmpl w:val="3BFC3FA0"/>
    <w:lvl w:ilvl="0" w:tentative="0">
      <w:start w:val="1"/>
      <w:numFmt w:val="chineseCounting"/>
      <w:suff w:val="nothing"/>
      <w:lvlText w:val="%1、"/>
      <w:lvlJc w:val="left"/>
      <w:pPr>
        <w:ind w:left="0" w:firstLine="420"/>
      </w:pPr>
      <w:rPr>
        <w:rFonts w:hint="eastAsia"/>
      </w:rPr>
    </w:lvl>
  </w:abstractNum>
  <w:abstractNum w:abstractNumId="6">
    <w:nsid w:val="3DD1E8D3"/>
    <w:multiLevelType w:val="singleLevel"/>
    <w:tmpl w:val="3DD1E8D3"/>
    <w:lvl w:ilvl="0" w:tentative="0">
      <w:start w:val="1"/>
      <w:numFmt w:val="decimal"/>
      <w:suff w:val="nothing"/>
      <w:lvlText w:val="%1．"/>
      <w:lvlJc w:val="left"/>
      <w:pPr>
        <w:ind w:left="0" w:firstLine="400"/>
      </w:pPr>
      <w:rPr>
        <w:rFonts w:hint="default"/>
      </w:rPr>
    </w:lvl>
  </w:abstractNum>
  <w:abstractNum w:abstractNumId="7">
    <w:nsid w:val="4C825FB3"/>
    <w:multiLevelType w:val="multilevel"/>
    <w:tmpl w:val="4C825FB3"/>
    <w:lvl w:ilvl="0" w:tentative="0">
      <w:start w:val="1"/>
      <w:numFmt w:val="decimal"/>
      <w:lvlText w:val="%1."/>
      <w:lvlJc w:val="left"/>
      <w:pPr>
        <w:ind w:left="360" w:hanging="360"/>
      </w:pPr>
      <w:rPr>
        <w:rFonts w:hint="default"/>
      </w:rPr>
    </w:lvl>
    <w:lvl w:ilvl="1" w:tentative="0">
      <w:start w:val="1"/>
      <w:numFmt w:val="decimalEnclosedCircle"/>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012D2E5"/>
    <w:multiLevelType w:val="singleLevel"/>
    <w:tmpl w:val="5012D2E5"/>
    <w:lvl w:ilvl="0" w:tentative="0">
      <w:start w:val="1"/>
      <w:numFmt w:val="chineseCounting"/>
      <w:suff w:val="nothing"/>
      <w:lvlText w:val="%1、"/>
      <w:lvlJc w:val="left"/>
      <w:pPr>
        <w:ind w:left="0" w:firstLine="420"/>
      </w:pPr>
      <w:rPr>
        <w:rFonts w:hint="eastAsia"/>
      </w:rPr>
    </w:lvl>
  </w:abstractNum>
  <w:num w:numId="1">
    <w:abstractNumId w:val="8"/>
  </w:num>
  <w:num w:numId="2">
    <w:abstractNumId w:val="3"/>
  </w:num>
  <w:num w:numId="3">
    <w:abstractNumId w:val="6"/>
  </w:num>
  <w:num w:numId="4">
    <w:abstractNumId w:val="2"/>
  </w:num>
  <w:num w:numId="5">
    <w:abstractNumId w:val="5"/>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875326"/>
    <w:rsid w:val="00001ECB"/>
    <w:rsid w:val="00013221"/>
    <w:rsid w:val="000137CA"/>
    <w:rsid w:val="00044BE6"/>
    <w:rsid w:val="00046DEE"/>
    <w:rsid w:val="00053C51"/>
    <w:rsid w:val="00060718"/>
    <w:rsid w:val="00070179"/>
    <w:rsid w:val="00077BA6"/>
    <w:rsid w:val="000A0B21"/>
    <w:rsid w:val="000B0B62"/>
    <w:rsid w:val="000B171E"/>
    <w:rsid w:val="000B4BE7"/>
    <w:rsid w:val="000D5607"/>
    <w:rsid w:val="0010078D"/>
    <w:rsid w:val="00106ACB"/>
    <w:rsid w:val="0013097F"/>
    <w:rsid w:val="00161631"/>
    <w:rsid w:val="001810C2"/>
    <w:rsid w:val="0018502B"/>
    <w:rsid w:val="0019144F"/>
    <w:rsid w:val="00195683"/>
    <w:rsid w:val="001A0379"/>
    <w:rsid w:val="001A0659"/>
    <w:rsid w:val="001C547C"/>
    <w:rsid w:val="001D075A"/>
    <w:rsid w:val="001D5A2E"/>
    <w:rsid w:val="00201C8C"/>
    <w:rsid w:val="00202CCB"/>
    <w:rsid w:val="00234F4E"/>
    <w:rsid w:val="00243405"/>
    <w:rsid w:val="00243ADB"/>
    <w:rsid w:val="0025495C"/>
    <w:rsid w:val="002721CA"/>
    <w:rsid w:val="0027229A"/>
    <w:rsid w:val="002752B2"/>
    <w:rsid w:val="002826CA"/>
    <w:rsid w:val="00286F00"/>
    <w:rsid w:val="002904D9"/>
    <w:rsid w:val="00297504"/>
    <w:rsid w:val="002A0389"/>
    <w:rsid w:val="002A2E4F"/>
    <w:rsid w:val="002B0373"/>
    <w:rsid w:val="002E3BC9"/>
    <w:rsid w:val="00321A8D"/>
    <w:rsid w:val="0035283B"/>
    <w:rsid w:val="0036784E"/>
    <w:rsid w:val="00374EF3"/>
    <w:rsid w:val="00376D30"/>
    <w:rsid w:val="003779A5"/>
    <w:rsid w:val="00397B35"/>
    <w:rsid w:val="003A012A"/>
    <w:rsid w:val="003A0EDC"/>
    <w:rsid w:val="003B673F"/>
    <w:rsid w:val="003E2244"/>
    <w:rsid w:val="003E39D7"/>
    <w:rsid w:val="003F7C94"/>
    <w:rsid w:val="0042650C"/>
    <w:rsid w:val="00445CB9"/>
    <w:rsid w:val="00470ACA"/>
    <w:rsid w:val="00483273"/>
    <w:rsid w:val="0048442C"/>
    <w:rsid w:val="004A0C92"/>
    <w:rsid w:val="004C340A"/>
    <w:rsid w:val="004D51F3"/>
    <w:rsid w:val="004F31B0"/>
    <w:rsid w:val="005034C2"/>
    <w:rsid w:val="00507B14"/>
    <w:rsid w:val="005175FE"/>
    <w:rsid w:val="005345F7"/>
    <w:rsid w:val="00557BBC"/>
    <w:rsid w:val="00581F03"/>
    <w:rsid w:val="005936DB"/>
    <w:rsid w:val="005950C2"/>
    <w:rsid w:val="005B0B63"/>
    <w:rsid w:val="005C3062"/>
    <w:rsid w:val="005E69A3"/>
    <w:rsid w:val="005E7A12"/>
    <w:rsid w:val="005E7F3A"/>
    <w:rsid w:val="00602F11"/>
    <w:rsid w:val="00603870"/>
    <w:rsid w:val="0063642A"/>
    <w:rsid w:val="00642E97"/>
    <w:rsid w:val="00654DA8"/>
    <w:rsid w:val="00672B19"/>
    <w:rsid w:val="00680A3E"/>
    <w:rsid w:val="00690CEA"/>
    <w:rsid w:val="006A6CC3"/>
    <w:rsid w:val="006B6E90"/>
    <w:rsid w:val="006C7382"/>
    <w:rsid w:val="00721C06"/>
    <w:rsid w:val="007257F1"/>
    <w:rsid w:val="0073015B"/>
    <w:rsid w:val="00730FEC"/>
    <w:rsid w:val="00757665"/>
    <w:rsid w:val="00763FC9"/>
    <w:rsid w:val="00764DF9"/>
    <w:rsid w:val="00770842"/>
    <w:rsid w:val="007907D4"/>
    <w:rsid w:val="00797244"/>
    <w:rsid w:val="007A2036"/>
    <w:rsid w:val="007C5E6B"/>
    <w:rsid w:val="007D4126"/>
    <w:rsid w:val="007D49C3"/>
    <w:rsid w:val="007F59BA"/>
    <w:rsid w:val="00801567"/>
    <w:rsid w:val="00806E90"/>
    <w:rsid w:val="00831FFA"/>
    <w:rsid w:val="00836F2B"/>
    <w:rsid w:val="00837394"/>
    <w:rsid w:val="0084226C"/>
    <w:rsid w:val="00847810"/>
    <w:rsid w:val="0086698B"/>
    <w:rsid w:val="008776A9"/>
    <w:rsid w:val="0088053D"/>
    <w:rsid w:val="0088755D"/>
    <w:rsid w:val="00897288"/>
    <w:rsid w:val="008C2305"/>
    <w:rsid w:val="008E52BC"/>
    <w:rsid w:val="009027E3"/>
    <w:rsid w:val="00902F29"/>
    <w:rsid w:val="00907E0A"/>
    <w:rsid w:val="00911934"/>
    <w:rsid w:val="009211E0"/>
    <w:rsid w:val="009212B0"/>
    <w:rsid w:val="00937E51"/>
    <w:rsid w:val="00957EF5"/>
    <w:rsid w:val="0099583D"/>
    <w:rsid w:val="009A7B26"/>
    <w:rsid w:val="009B038E"/>
    <w:rsid w:val="009B6CF6"/>
    <w:rsid w:val="00A056C1"/>
    <w:rsid w:val="00A07FBE"/>
    <w:rsid w:val="00A14549"/>
    <w:rsid w:val="00A148D3"/>
    <w:rsid w:val="00A43ADE"/>
    <w:rsid w:val="00A47508"/>
    <w:rsid w:val="00A55B75"/>
    <w:rsid w:val="00A56773"/>
    <w:rsid w:val="00A6781C"/>
    <w:rsid w:val="00A7110B"/>
    <w:rsid w:val="00A72FF7"/>
    <w:rsid w:val="00A73BD4"/>
    <w:rsid w:val="00A901D4"/>
    <w:rsid w:val="00A92AB1"/>
    <w:rsid w:val="00AC07F1"/>
    <w:rsid w:val="00AD72E3"/>
    <w:rsid w:val="00AE0364"/>
    <w:rsid w:val="00B03FE7"/>
    <w:rsid w:val="00B068DC"/>
    <w:rsid w:val="00B17195"/>
    <w:rsid w:val="00B26822"/>
    <w:rsid w:val="00B27464"/>
    <w:rsid w:val="00B738C9"/>
    <w:rsid w:val="00BC1BD1"/>
    <w:rsid w:val="00BC3B53"/>
    <w:rsid w:val="00BD56DA"/>
    <w:rsid w:val="00BD6B51"/>
    <w:rsid w:val="00BE173A"/>
    <w:rsid w:val="00BE7FCB"/>
    <w:rsid w:val="00C00BE6"/>
    <w:rsid w:val="00C112B7"/>
    <w:rsid w:val="00C14473"/>
    <w:rsid w:val="00C22407"/>
    <w:rsid w:val="00C24F12"/>
    <w:rsid w:val="00C56600"/>
    <w:rsid w:val="00C7458F"/>
    <w:rsid w:val="00C746AC"/>
    <w:rsid w:val="00C84342"/>
    <w:rsid w:val="00C96A95"/>
    <w:rsid w:val="00C97B10"/>
    <w:rsid w:val="00CA0D49"/>
    <w:rsid w:val="00CA2E36"/>
    <w:rsid w:val="00CA6B21"/>
    <w:rsid w:val="00CB434F"/>
    <w:rsid w:val="00CB5A50"/>
    <w:rsid w:val="00CB7AA5"/>
    <w:rsid w:val="00CE0549"/>
    <w:rsid w:val="00CF215B"/>
    <w:rsid w:val="00CF39FB"/>
    <w:rsid w:val="00D02E6F"/>
    <w:rsid w:val="00D16F35"/>
    <w:rsid w:val="00D462E8"/>
    <w:rsid w:val="00D53C84"/>
    <w:rsid w:val="00D6265C"/>
    <w:rsid w:val="00D708B1"/>
    <w:rsid w:val="00DB24F1"/>
    <w:rsid w:val="00DD0F97"/>
    <w:rsid w:val="00DD1C9B"/>
    <w:rsid w:val="00DE2245"/>
    <w:rsid w:val="00DE3C21"/>
    <w:rsid w:val="00DE5F0B"/>
    <w:rsid w:val="00E1091C"/>
    <w:rsid w:val="00E175AF"/>
    <w:rsid w:val="00E26590"/>
    <w:rsid w:val="00E267B6"/>
    <w:rsid w:val="00E337B7"/>
    <w:rsid w:val="00E442BD"/>
    <w:rsid w:val="00E66C88"/>
    <w:rsid w:val="00E74F69"/>
    <w:rsid w:val="00E8537C"/>
    <w:rsid w:val="00E97B5E"/>
    <w:rsid w:val="00EB791A"/>
    <w:rsid w:val="00ED64E2"/>
    <w:rsid w:val="00EE62F0"/>
    <w:rsid w:val="00EE7F80"/>
    <w:rsid w:val="00F0043B"/>
    <w:rsid w:val="00F33D37"/>
    <w:rsid w:val="00F82142"/>
    <w:rsid w:val="00F86912"/>
    <w:rsid w:val="00F9439D"/>
    <w:rsid w:val="00FA35FB"/>
    <w:rsid w:val="00FA603D"/>
    <w:rsid w:val="00FB316F"/>
    <w:rsid w:val="00FB64F9"/>
    <w:rsid w:val="00FC15F8"/>
    <w:rsid w:val="00FD3551"/>
    <w:rsid w:val="00FE2918"/>
    <w:rsid w:val="01B97764"/>
    <w:rsid w:val="03AE0B18"/>
    <w:rsid w:val="0576703C"/>
    <w:rsid w:val="05806815"/>
    <w:rsid w:val="06946AC5"/>
    <w:rsid w:val="06AB4C7D"/>
    <w:rsid w:val="083123B3"/>
    <w:rsid w:val="0A35554F"/>
    <w:rsid w:val="0A863F96"/>
    <w:rsid w:val="0BC83B46"/>
    <w:rsid w:val="0C39177C"/>
    <w:rsid w:val="100D4244"/>
    <w:rsid w:val="105B0809"/>
    <w:rsid w:val="10D80231"/>
    <w:rsid w:val="117748B7"/>
    <w:rsid w:val="128C12C2"/>
    <w:rsid w:val="12E06408"/>
    <w:rsid w:val="12F52B2A"/>
    <w:rsid w:val="17905436"/>
    <w:rsid w:val="17B0376D"/>
    <w:rsid w:val="188E1AD6"/>
    <w:rsid w:val="19FA774B"/>
    <w:rsid w:val="1C396F8D"/>
    <w:rsid w:val="1C7A6BC9"/>
    <w:rsid w:val="1C7F4943"/>
    <w:rsid w:val="1D1A76AB"/>
    <w:rsid w:val="1D320E99"/>
    <w:rsid w:val="1DAB3A54"/>
    <w:rsid w:val="1E0F269A"/>
    <w:rsid w:val="1E3C2FA6"/>
    <w:rsid w:val="1F470E49"/>
    <w:rsid w:val="209D6CF1"/>
    <w:rsid w:val="216774BC"/>
    <w:rsid w:val="21690F5F"/>
    <w:rsid w:val="21FF0A75"/>
    <w:rsid w:val="247F3A70"/>
    <w:rsid w:val="25AD3162"/>
    <w:rsid w:val="25FD5353"/>
    <w:rsid w:val="263A1AAE"/>
    <w:rsid w:val="26703D18"/>
    <w:rsid w:val="270E6B6B"/>
    <w:rsid w:val="27A357E7"/>
    <w:rsid w:val="2A3C406A"/>
    <w:rsid w:val="2A6E122D"/>
    <w:rsid w:val="2A734E21"/>
    <w:rsid w:val="2AB90670"/>
    <w:rsid w:val="2AF351E4"/>
    <w:rsid w:val="2B106F3D"/>
    <w:rsid w:val="2C150D6D"/>
    <w:rsid w:val="2E2C2A90"/>
    <w:rsid w:val="2E85199B"/>
    <w:rsid w:val="34A4226C"/>
    <w:rsid w:val="35DD427E"/>
    <w:rsid w:val="36226026"/>
    <w:rsid w:val="37425106"/>
    <w:rsid w:val="37843EA3"/>
    <w:rsid w:val="38EF4CAF"/>
    <w:rsid w:val="39F272C7"/>
    <w:rsid w:val="3ADE4CAB"/>
    <w:rsid w:val="3AEF1480"/>
    <w:rsid w:val="3BC14218"/>
    <w:rsid w:val="3C7B78EB"/>
    <w:rsid w:val="3DD12B35"/>
    <w:rsid w:val="3E561C53"/>
    <w:rsid w:val="3FA33709"/>
    <w:rsid w:val="3FE50C61"/>
    <w:rsid w:val="403E1AF3"/>
    <w:rsid w:val="406D6887"/>
    <w:rsid w:val="410B3F58"/>
    <w:rsid w:val="43402AF6"/>
    <w:rsid w:val="44007FA0"/>
    <w:rsid w:val="464407EC"/>
    <w:rsid w:val="49741B10"/>
    <w:rsid w:val="499C0769"/>
    <w:rsid w:val="4B126645"/>
    <w:rsid w:val="4C226976"/>
    <w:rsid w:val="4D894409"/>
    <w:rsid w:val="4DE45D18"/>
    <w:rsid w:val="4F9F7EB8"/>
    <w:rsid w:val="503F09B5"/>
    <w:rsid w:val="51DD7B7E"/>
    <w:rsid w:val="53B62265"/>
    <w:rsid w:val="53F87440"/>
    <w:rsid w:val="54C34C4A"/>
    <w:rsid w:val="55DD2EEF"/>
    <w:rsid w:val="56485063"/>
    <w:rsid w:val="56D0276B"/>
    <w:rsid w:val="5791383A"/>
    <w:rsid w:val="60AA4D27"/>
    <w:rsid w:val="619E2199"/>
    <w:rsid w:val="641937F0"/>
    <w:rsid w:val="64DA4D41"/>
    <w:rsid w:val="69900EBC"/>
    <w:rsid w:val="6B984700"/>
    <w:rsid w:val="6C081D90"/>
    <w:rsid w:val="6C7448EE"/>
    <w:rsid w:val="6E9666FC"/>
    <w:rsid w:val="717D25E2"/>
    <w:rsid w:val="72AA7CAC"/>
    <w:rsid w:val="747626EC"/>
    <w:rsid w:val="75B160B8"/>
    <w:rsid w:val="77557377"/>
    <w:rsid w:val="78154B44"/>
    <w:rsid w:val="78300533"/>
    <w:rsid w:val="78417157"/>
    <w:rsid w:val="78A177CF"/>
    <w:rsid w:val="79026697"/>
    <w:rsid w:val="79635281"/>
    <w:rsid w:val="7A482DE1"/>
    <w:rsid w:val="7BDC5744"/>
    <w:rsid w:val="7CEE0A85"/>
    <w:rsid w:val="7DFF08C2"/>
    <w:rsid w:val="7E875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2"/>
    <w:basedOn w:val="1"/>
    <w:next w:val="1"/>
    <w:unhideWhenUsed/>
    <w:qFormat/>
    <w:uiPriority w:val="9"/>
    <w:pPr>
      <w:outlineLvl w:val="1"/>
    </w:pPr>
    <w:rPr>
      <w:rFonts w:ascii="Tahoma" w:hAnsi="Tahoma" w:eastAsia="Tahoma" w:cs="Tahoma"/>
      <w:sz w:val="52"/>
      <w:szCs w:val="5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style>
  <w:style w:type="paragraph" w:styleId="4">
    <w:name w:val="Body Text"/>
    <w:basedOn w:val="1"/>
    <w:qFormat/>
    <w:uiPriority w:val="1"/>
    <w:rPr>
      <w:sz w:val="19"/>
      <w:szCs w:val="19"/>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annotation subject"/>
    <w:basedOn w:val="3"/>
    <w:next w:val="3"/>
    <w:link w:val="14"/>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修订1"/>
    <w:hidden/>
    <w:unhideWhenUsed/>
    <w:qFormat/>
    <w:uiPriority w:val="99"/>
    <w:rPr>
      <w:rFonts w:ascii="宋体" w:hAnsi="宋体" w:eastAsia="宋体" w:cs="宋体"/>
      <w:sz w:val="22"/>
      <w:szCs w:val="22"/>
      <w:lang w:val="en-US" w:eastAsia="zh-CN" w:bidi="ar-SA"/>
    </w:rPr>
  </w:style>
  <w:style w:type="character" w:customStyle="1" w:styleId="13">
    <w:name w:val="Comment Text Char"/>
    <w:basedOn w:val="10"/>
    <w:link w:val="3"/>
    <w:qFormat/>
    <w:uiPriority w:val="0"/>
    <w:rPr>
      <w:rFonts w:ascii="宋体" w:hAnsi="宋体" w:cs="宋体"/>
      <w:sz w:val="22"/>
      <w:szCs w:val="22"/>
    </w:rPr>
  </w:style>
  <w:style w:type="character" w:customStyle="1" w:styleId="14">
    <w:name w:val="Comment Subject Char"/>
    <w:basedOn w:val="13"/>
    <w:link w:val="7"/>
    <w:qFormat/>
    <w:uiPriority w:val="0"/>
    <w:rPr>
      <w:rFonts w:ascii="宋体" w:hAnsi="宋体" w:cs="宋体"/>
      <w:b/>
      <w:bCs/>
      <w:sz w:val="22"/>
      <w:szCs w:val="22"/>
    </w:rPr>
  </w:style>
  <w:style w:type="paragraph" w:customStyle="1" w:styleId="15">
    <w:name w:val="Revision"/>
    <w:hidden/>
    <w:unhideWhenUsed/>
    <w:qFormat/>
    <w:uiPriority w:val="99"/>
    <w:rPr>
      <w:rFonts w:ascii="宋体" w:hAnsi="宋体" w:eastAsia="宋体" w:cs="宋体"/>
      <w:sz w:val="22"/>
      <w:szCs w:val="22"/>
      <w:lang w:val="en-US" w:eastAsia="zh-CN" w:bidi="ar-SA"/>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957AC8-971F-4D7A-A0DD-03BD3EB1485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578</Words>
  <Characters>3298</Characters>
  <Lines>27</Lines>
  <Paragraphs>7</Paragraphs>
  <TotalTime>3</TotalTime>
  <ScaleCrop>false</ScaleCrop>
  <LinksUpToDate>false</LinksUpToDate>
  <CharactersWithSpaces>3869</CharactersWithSpaces>
  <Application>WPS Office_11.8.2.12085_F1E327BC-269C-435d-A152-05C5408002CA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2025-07-01T16:27:00Z</dcterms:created>
  <dc:creator>汪昱</dc:creator>
  <cp:lastModifiedBy>汪昱</cp:lastModifiedBy>
  <cp:lastPrinted>2025-08-27T10:09:00Z</cp:lastPrinted>
  <dcterms:modified xsi:type="dcterms:W3CDTF">2025-09-05T01:45:29Z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29D5CCD5D9C140B7BD8A30911EC100C4</vt:lpwstr>
  </property>
</Properties>
</file>